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cs="仿宋"/>
        </w:rPr>
      </w:pPr>
    </w:p>
    <w:p>
      <w:pPr>
        <w:jc w:val="center"/>
        <w:rPr>
          <w:rStyle w:val="11"/>
          <w:rFonts w:ascii="仿宋" w:hAnsi="仿宋" w:eastAsia="仿宋" w:cs="仿宋"/>
          <w:b/>
          <w:sz w:val="36"/>
          <w:szCs w:val="36"/>
        </w:rPr>
      </w:pPr>
      <w:r>
        <w:rPr>
          <w:rStyle w:val="11"/>
          <w:rFonts w:hint="eastAsia" w:ascii="仿宋" w:hAnsi="仿宋" w:eastAsia="仿宋" w:cs="仿宋"/>
          <w:b/>
          <w:sz w:val="36"/>
          <w:szCs w:val="36"/>
        </w:rPr>
        <w:t>2018年福建省职业院校技能大赛</w:t>
      </w:r>
    </w:p>
    <w:p>
      <w:pPr>
        <w:jc w:val="center"/>
        <w:rPr>
          <w:rStyle w:val="11"/>
          <w:rFonts w:ascii="仿宋" w:hAnsi="仿宋" w:eastAsia="仿宋" w:cs="仿宋"/>
          <w:b/>
          <w:sz w:val="36"/>
          <w:szCs w:val="36"/>
        </w:rPr>
      </w:pPr>
      <w:r>
        <w:rPr>
          <w:rStyle w:val="11"/>
          <w:rFonts w:ascii="仿宋" w:hAnsi="仿宋" w:eastAsia="仿宋" w:cs="仿宋"/>
          <w:b/>
          <w:sz w:val="36"/>
          <w:szCs w:val="36"/>
        </w:rPr>
        <w:t>“银行业务综合技能”</w:t>
      </w:r>
      <w:r>
        <w:rPr>
          <w:rStyle w:val="11"/>
          <w:rFonts w:hint="eastAsia" w:ascii="仿宋" w:hAnsi="仿宋" w:eastAsia="仿宋" w:cs="仿宋"/>
          <w:b/>
          <w:sz w:val="36"/>
          <w:szCs w:val="36"/>
        </w:rPr>
        <w:t>赛项规</w:t>
      </w:r>
      <w:bookmarkStart w:id="0" w:name="_Hlt253342540"/>
      <w:bookmarkStart w:id="1" w:name="_Hlt253936550"/>
      <w:bookmarkStart w:id="2" w:name="_Hlt252882114"/>
      <w:r>
        <w:rPr>
          <w:rStyle w:val="11"/>
          <w:rFonts w:hint="eastAsia" w:ascii="仿宋" w:hAnsi="仿宋" w:eastAsia="仿宋" w:cs="仿宋"/>
          <w:b/>
          <w:sz w:val="36"/>
          <w:szCs w:val="36"/>
        </w:rPr>
        <w:t>程</w:t>
      </w:r>
      <w:bookmarkEnd w:id="0"/>
      <w:bookmarkEnd w:id="1"/>
      <w:bookmarkEnd w:id="2"/>
    </w:p>
    <w:p>
      <w:pPr>
        <w:spacing w:line="360" w:lineRule="auto"/>
        <w:ind w:firstLine="551" w:firstLineChars="196"/>
        <w:rPr>
          <w:rFonts w:ascii="仿宋" w:hAnsi="仿宋" w:eastAsia="仿宋"/>
          <w:sz w:val="24"/>
        </w:rPr>
      </w:pPr>
      <w:r>
        <w:rPr>
          <w:rFonts w:ascii="仿宋" w:hAnsi="仿宋" w:eastAsia="仿宋"/>
          <w:b/>
          <w:sz w:val="28"/>
          <w:szCs w:val="28"/>
        </w:rPr>
        <w:t>一、赛项名称</w:t>
      </w:r>
    </w:p>
    <w:p>
      <w:pPr>
        <w:spacing w:line="360" w:lineRule="auto"/>
        <w:ind w:firstLine="480" w:firstLineChars="200"/>
        <w:rPr>
          <w:rFonts w:ascii="仿宋" w:hAnsi="仿宋" w:eastAsia="仿宋"/>
          <w:color w:val="FF0000"/>
          <w:sz w:val="24"/>
        </w:rPr>
      </w:pPr>
      <w:r>
        <w:rPr>
          <w:rFonts w:ascii="仿宋" w:hAnsi="仿宋" w:eastAsia="仿宋"/>
          <w:sz w:val="24"/>
        </w:rPr>
        <w:t>赛项编号：</w:t>
      </w:r>
      <w:r>
        <w:rPr>
          <w:rFonts w:ascii="仿宋" w:hAnsi="仿宋" w:eastAsia="仿宋"/>
          <w:color w:val="auto"/>
          <w:sz w:val="24"/>
        </w:rPr>
        <w:t>G-</w:t>
      </w:r>
      <w:r>
        <w:rPr>
          <w:rFonts w:hint="eastAsia" w:ascii="仿宋" w:hAnsi="仿宋" w:eastAsia="仿宋"/>
          <w:color w:val="auto"/>
          <w:sz w:val="24"/>
          <w:lang w:val="en-US" w:eastAsia="zh-CN"/>
        </w:rPr>
        <w:t>02</w:t>
      </w:r>
      <w:r>
        <w:rPr>
          <w:rFonts w:ascii="仿宋" w:hAnsi="仿宋" w:eastAsia="仿宋"/>
          <w:color w:val="auto"/>
          <w:sz w:val="24"/>
        </w:rPr>
        <w:t xml:space="preserve"> </w:t>
      </w:r>
    </w:p>
    <w:p>
      <w:pPr>
        <w:spacing w:line="360" w:lineRule="auto"/>
        <w:ind w:firstLine="480" w:firstLineChars="200"/>
        <w:rPr>
          <w:rFonts w:ascii="仿宋" w:hAnsi="仿宋" w:eastAsia="仿宋"/>
          <w:sz w:val="24"/>
        </w:rPr>
      </w:pPr>
      <w:r>
        <w:rPr>
          <w:rFonts w:ascii="仿宋" w:hAnsi="仿宋" w:eastAsia="仿宋"/>
          <w:sz w:val="24"/>
        </w:rPr>
        <w:t>赛项名称：银行业务综合技能</w:t>
      </w:r>
    </w:p>
    <w:p>
      <w:pPr>
        <w:spacing w:line="360" w:lineRule="auto"/>
        <w:ind w:firstLine="480" w:firstLineChars="200"/>
        <w:rPr>
          <w:rFonts w:ascii="仿宋" w:hAnsi="仿宋" w:eastAsia="仿宋"/>
          <w:sz w:val="24"/>
        </w:rPr>
      </w:pPr>
      <w:r>
        <w:rPr>
          <w:rFonts w:ascii="仿宋" w:hAnsi="仿宋" w:eastAsia="仿宋"/>
          <w:sz w:val="24"/>
        </w:rPr>
        <w:t>赛项组别：高职组</w:t>
      </w:r>
    </w:p>
    <w:p>
      <w:pPr>
        <w:spacing w:line="360" w:lineRule="auto"/>
        <w:ind w:firstLine="480" w:firstLineChars="200"/>
        <w:rPr>
          <w:rFonts w:ascii="仿宋" w:hAnsi="仿宋" w:eastAsia="仿宋"/>
          <w:sz w:val="24"/>
        </w:rPr>
      </w:pPr>
      <w:r>
        <w:rPr>
          <w:rFonts w:ascii="仿宋" w:hAnsi="仿宋" w:eastAsia="仿宋"/>
          <w:sz w:val="24"/>
        </w:rPr>
        <w:t>竞赛形式：团体赛</w:t>
      </w:r>
    </w:p>
    <w:p>
      <w:pPr>
        <w:spacing w:line="360" w:lineRule="auto"/>
        <w:ind w:firstLine="480" w:firstLineChars="200"/>
        <w:rPr>
          <w:rFonts w:ascii="仿宋" w:hAnsi="仿宋" w:eastAsia="仿宋"/>
          <w:sz w:val="24"/>
        </w:rPr>
      </w:pPr>
      <w:r>
        <w:rPr>
          <w:rFonts w:ascii="仿宋" w:hAnsi="仿宋" w:eastAsia="仿宋"/>
          <w:sz w:val="24"/>
        </w:rPr>
        <w:t>赛项专业大类：</w:t>
      </w:r>
      <w:r>
        <w:rPr>
          <w:rFonts w:hint="eastAsia" w:ascii="仿宋" w:hAnsi="仿宋" w:eastAsia="仿宋"/>
          <w:sz w:val="24"/>
        </w:rPr>
        <w:t>财经商贸</w:t>
      </w:r>
    </w:p>
    <w:p>
      <w:pPr>
        <w:spacing w:line="360" w:lineRule="auto"/>
        <w:ind w:firstLine="551" w:firstLineChars="196"/>
        <w:rPr>
          <w:rFonts w:ascii="仿宋" w:hAnsi="仿宋" w:eastAsia="仿宋"/>
          <w:b/>
          <w:sz w:val="28"/>
          <w:szCs w:val="28"/>
        </w:rPr>
      </w:pPr>
      <w:r>
        <w:rPr>
          <w:rFonts w:ascii="仿宋" w:hAnsi="仿宋" w:eastAsia="仿宋"/>
          <w:b/>
          <w:sz w:val="28"/>
          <w:szCs w:val="28"/>
        </w:rPr>
        <w:t>二、竞赛目的</w:t>
      </w:r>
    </w:p>
    <w:p>
      <w:pPr>
        <w:spacing w:line="360" w:lineRule="auto"/>
        <w:ind w:firstLine="480" w:firstLineChars="200"/>
        <w:rPr>
          <w:rFonts w:ascii="仿宋" w:hAnsi="仿宋" w:eastAsia="仿宋"/>
          <w:sz w:val="24"/>
        </w:rPr>
      </w:pPr>
      <w:r>
        <w:rPr>
          <w:rFonts w:ascii="仿宋" w:hAnsi="仿宋" w:eastAsia="仿宋"/>
          <w:sz w:val="24"/>
        </w:rPr>
        <w:t>为检验福建省高职高专金融专业教学改革成果，展现各个高职院校金融专业人才培养水平，加深学生对银行相关专业知识的理解，提高专业实际应用能力，培养团队合作精神和处理分析解决问题的能力，引领和促进高职高专金融专业教学改革，提升高职高专金融职业人才培养工作水平，达到以赛促教、以赛促学、以赛促改、以赛促建的目的，全面推动金融专业职业教育稳步健康发展。</w:t>
      </w:r>
    </w:p>
    <w:p>
      <w:pPr>
        <w:spacing w:line="360" w:lineRule="auto"/>
        <w:ind w:firstLine="551" w:firstLineChars="196"/>
        <w:rPr>
          <w:rFonts w:ascii="仿宋" w:hAnsi="仿宋" w:eastAsia="仿宋"/>
          <w:b/>
          <w:sz w:val="28"/>
          <w:szCs w:val="28"/>
        </w:rPr>
      </w:pPr>
      <w:r>
        <w:rPr>
          <w:rFonts w:ascii="仿宋" w:hAnsi="仿宋" w:eastAsia="仿宋"/>
          <w:b/>
          <w:sz w:val="28"/>
          <w:szCs w:val="28"/>
        </w:rPr>
        <w:t>三、竞赛内容（详见竞赛样题）</w:t>
      </w:r>
    </w:p>
    <w:p>
      <w:pPr>
        <w:snapToGrid w:val="0"/>
        <w:spacing w:line="360" w:lineRule="auto"/>
        <w:ind w:firstLine="480" w:firstLineChars="200"/>
        <w:rPr>
          <w:rFonts w:ascii="仿宋" w:hAnsi="仿宋" w:eastAsia="仿宋"/>
          <w:sz w:val="24"/>
        </w:rPr>
      </w:pPr>
      <w:r>
        <w:rPr>
          <w:rFonts w:hint="eastAsia" w:ascii="仿宋" w:hAnsi="仿宋" w:eastAsia="仿宋"/>
          <w:sz w:val="24"/>
        </w:rPr>
        <w:t>“银行业务综合技能”竞赛是以银行业为背景，基于银行零售柜员、对公柜员、信贷员、会计主管和理财经理、客户经理、大堂经理等核心岗位工作内容设计。</w:t>
      </w:r>
    </w:p>
    <w:p>
      <w:pPr>
        <w:snapToGrid w:val="0"/>
        <w:spacing w:line="360" w:lineRule="auto"/>
        <w:ind w:firstLine="475" w:firstLineChars="198"/>
        <w:rPr>
          <w:rFonts w:ascii="仿宋" w:hAnsi="仿宋" w:eastAsia="仿宋"/>
          <w:sz w:val="24"/>
        </w:rPr>
      </w:pPr>
      <w:r>
        <w:rPr>
          <w:rFonts w:hint="eastAsia" w:ascii="仿宋" w:hAnsi="仿宋" w:eastAsia="仿宋"/>
          <w:sz w:val="24"/>
        </w:rPr>
        <w:t>竞赛内容包括：“银行从业知识”竞赛、“银行基本技能”竞赛（包含了传票算、字符录入、手工点钞、货币防伪与鉴别）、“银行业务能力”竞赛（包含了银行综合业务、金融营销能力、票据业务处理）、银行服务情景展示等项目。竞赛内容结构图如下：</w:t>
      </w:r>
    </w:p>
    <w:p>
      <w:pPr>
        <w:snapToGrid w:val="0"/>
        <w:spacing w:line="360" w:lineRule="auto"/>
        <w:ind w:firstLine="482" w:firstLineChars="200"/>
        <w:rPr>
          <w:rFonts w:ascii="仿宋" w:hAnsi="仿宋" w:eastAsia="仿宋"/>
          <w:b/>
          <w:sz w:val="24"/>
        </w:rPr>
      </w:pPr>
    </w:p>
    <w:p>
      <w:pPr>
        <w:snapToGrid w:val="0"/>
        <w:spacing w:line="360" w:lineRule="auto"/>
        <w:ind w:firstLine="482" w:firstLineChars="200"/>
        <w:rPr>
          <w:b/>
          <w:sz w:val="24"/>
        </w:rPr>
      </w:pPr>
    </w:p>
    <w:p>
      <w:pPr>
        <w:snapToGrid w:val="0"/>
        <w:spacing w:line="360" w:lineRule="auto"/>
        <w:ind w:firstLine="482" w:firstLineChars="200"/>
        <w:rPr>
          <w:rFonts w:ascii="仿宋" w:hAnsi="仿宋" w:eastAsia="仿宋"/>
          <w:b/>
          <w:sz w:val="24"/>
        </w:rPr>
      </w:pPr>
      <w:r>
        <w:rPr>
          <w:rFonts w:hint="eastAsia" w:ascii="仿宋" w:hAnsi="仿宋" w:eastAsia="仿宋"/>
          <w:b/>
          <w:sz w:val="24"/>
        </w:rPr>
        <w:drawing>
          <wp:anchor distT="0" distB="0" distL="114300" distR="114300" simplePos="0" relativeHeight="251661312" behindDoc="0" locked="0" layoutInCell="1" allowOverlap="1">
            <wp:simplePos x="0" y="0"/>
            <wp:positionH relativeFrom="column">
              <wp:posOffset>-260985</wp:posOffset>
            </wp:positionH>
            <wp:positionV relativeFrom="paragraph">
              <wp:posOffset>169545</wp:posOffset>
            </wp:positionV>
            <wp:extent cx="5677535" cy="2341245"/>
            <wp:effectExtent l="19050" t="0" r="0" b="0"/>
            <wp:wrapSquare wrapText="bothSides"/>
            <wp:docPr id="27" name="图片 27"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23"/>
                    <pic:cNvPicPr>
                      <a:picLocks noChangeAspect="1"/>
                    </pic:cNvPicPr>
                  </pic:nvPicPr>
                  <pic:blipFill>
                    <a:blip r:embed="rId6"/>
                    <a:stretch>
                      <a:fillRect/>
                    </a:stretch>
                  </pic:blipFill>
                  <pic:spPr>
                    <a:xfrm>
                      <a:off x="0" y="0"/>
                      <a:ext cx="5677535" cy="2341245"/>
                    </a:xfrm>
                    <a:prstGeom prst="rect">
                      <a:avLst/>
                    </a:prstGeom>
                  </pic:spPr>
                </pic:pic>
              </a:graphicData>
            </a:graphic>
          </wp:anchor>
        </w:drawing>
      </w:r>
      <w:r>
        <w:rPr>
          <w:rFonts w:hint="eastAsia" w:ascii="仿宋" w:hAnsi="仿宋" w:eastAsia="仿宋"/>
          <w:b/>
          <w:sz w:val="24"/>
        </w:rPr>
        <w:t>（一）“银行从业知识”竞赛</w:t>
      </w:r>
    </w:p>
    <w:p>
      <w:pPr>
        <w:snapToGrid w:val="0"/>
        <w:spacing w:line="360" w:lineRule="auto"/>
        <w:ind w:firstLine="480" w:firstLineChars="200"/>
        <w:rPr>
          <w:rFonts w:ascii="仿宋" w:hAnsi="仿宋" w:eastAsia="仿宋"/>
          <w:sz w:val="24"/>
        </w:rPr>
      </w:pPr>
      <w:r>
        <w:rPr>
          <w:rFonts w:hint="eastAsia" w:ascii="仿宋" w:hAnsi="仿宋" w:eastAsia="仿宋"/>
          <w:sz w:val="24"/>
        </w:rPr>
        <w:t>考核选手对银行从业知识的掌握情况，基于银行从业资格证书考试范围设计。包括“银行业法律法规与综合能力”“个人理财”“银行信贷（含公司信贷和个人贷款）”等方面的知识。</w:t>
      </w:r>
    </w:p>
    <w:p>
      <w:pPr>
        <w:snapToGrid w:val="0"/>
        <w:spacing w:line="360" w:lineRule="auto"/>
        <w:ind w:firstLine="482" w:firstLineChars="200"/>
        <w:rPr>
          <w:rFonts w:ascii="仿宋" w:hAnsi="仿宋" w:eastAsia="仿宋"/>
          <w:b/>
          <w:sz w:val="24"/>
        </w:rPr>
      </w:pPr>
      <w:r>
        <w:rPr>
          <w:rFonts w:hint="eastAsia" w:ascii="仿宋" w:hAnsi="仿宋" w:eastAsia="仿宋"/>
          <w:b/>
          <w:sz w:val="24"/>
        </w:rPr>
        <w:t>（二）“银行基本技能”竞赛</w:t>
      </w:r>
    </w:p>
    <w:p>
      <w:pPr>
        <w:snapToGrid w:val="0"/>
        <w:spacing w:line="360" w:lineRule="auto"/>
        <w:ind w:firstLine="480" w:firstLineChars="200"/>
        <w:rPr>
          <w:rFonts w:ascii="仿宋" w:hAnsi="仿宋" w:eastAsia="仿宋"/>
          <w:sz w:val="24"/>
        </w:rPr>
      </w:pPr>
      <w:r>
        <w:rPr>
          <w:rFonts w:hint="eastAsia" w:ascii="仿宋" w:hAnsi="仿宋" w:eastAsia="仿宋"/>
          <w:sz w:val="24"/>
        </w:rPr>
        <w:t>考核选手对银行基本技能的掌握情况，包括传票算、字符录入、手工点钞、货币防伪与鉴别四个单项；</w:t>
      </w:r>
    </w:p>
    <w:p>
      <w:pPr>
        <w:snapToGrid w:val="0"/>
        <w:spacing w:line="360" w:lineRule="auto"/>
        <w:ind w:firstLine="482" w:firstLineChars="200"/>
        <w:rPr>
          <w:rFonts w:ascii="仿宋" w:hAnsi="仿宋" w:eastAsia="仿宋"/>
          <w:b/>
          <w:sz w:val="24"/>
        </w:rPr>
      </w:pPr>
      <w:r>
        <w:rPr>
          <w:rFonts w:hint="eastAsia" w:ascii="仿宋" w:hAnsi="仿宋" w:eastAsia="仿宋"/>
          <w:b/>
          <w:sz w:val="24"/>
        </w:rPr>
        <w:t>（三）“银行业务能力”竞赛</w:t>
      </w:r>
    </w:p>
    <w:p>
      <w:pPr>
        <w:snapToGrid w:val="0"/>
        <w:spacing w:line="360" w:lineRule="auto"/>
        <w:ind w:firstLine="480" w:firstLineChars="200"/>
        <w:rPr>
          <w:rFonts w:ascii="仿宋" w:hAnsi="仿宋" w:eastAsia="仿宋"/>
          <w:sz w:val="24"/>
        </w:rPr>
      </w:pPr>
      <w:r>
        <w:rPr>
          <w:rFonts w:hint="eastAsia" w:ascii="仿宋" w:hAnsi="仿宋" w:eastAsia="仿宋"/>
          <w:sz w:val="24"/>
        </w:rPr>
        <w:t>1.银行综合业务</w:t>
      </w:r>
    </w:p>
    <w:p>
      <w:pPr>
        <w:snapToGrid w:val="0"/>
        <w:spacing w:line="360" w:lineRule="auto"/>
        <w:ind w:firstLine="480" w:firstLineChars="200"/>
        <w:rPr>
          <w:rFonts w:ascii="仿宋" w:hAnsi="仿宋" w:eastAsia="仿宋"/>
          <w:sz w:val="24"/>
        </w:rPr>
      </w:pPr>
      <w:r>
        <w:rPr>
          <w:rFonts w:hint="eastAsia" w:ascii="仿宋" w:hAnsi="仿宋" w:eastAsia="仿宋"/>
          <w:sz w:val="24"/>
        </w:rPr>
        <w:t>考核选手对柜面业务处理流程及规范的掌握情况，包括个人银行业务、公司银行业务、借记卡业务、贷记卡业务、网银业务、资信业务、代理业务、电子商业汇票业务、纸质商业汇票业务、大小额支付系统、本票/汇票业务、委托收款业务、同城票据纸质交换业务等。</w:t>
      </w:r>
    </w:p>
    <w:p>
      <w:pPr>
        <w:snapToGrid w:val="0"/>
        <w:spacing w:line="360" w:lineRule="auto"/>
        <w:ind w:firstLine="480" w:firstLineChars="200"/>
        <w:rPr>
          <w:rFonts w:ascii="仿宋" w:hAnsi="仿宋" w:eastAsia="仿宋"/>
          <w:sz w:val="24"/>
        </w:rPr>
      </w:pPr>
      <w:r>
        <w:rPr>
          <w:rFonts w:hint="eastAsia" w:ascii="仿宋" w:hAnsi="仿宋" w:eastAsia="仿宋"/>
          <w:sz w:val="24"/>
        </w:rPr>
        <w:t>2.金融营销技能</w:t>
      </w:r>
    </w:p>
    <w:p>
      <w:pPr>
        <w:snapToGrid w:val="0"/>
        <w:spacing w:line="360" w:lineRule="auto"/>
        <w:ind w:firstLine="480" w:firstLineChars="200"/>
        <w:rPr>
          <w:rFonts w:ascii="仿宋" w:hAnsi="仿宋" w:eastAsia="仿宋"/>
          <w:sz w:val="24"/>
        </w:rPr>
      </w:pPr>
      <w:r>
        <w:rPr>
          <w:rFonts w:hint="eastAsia" w:ascii="仿宋" w:hAnsi="仿宋" w:eastAsia="仿宋"/>
          <w:sz w:val="24"/>
        </w:rPr>
        <w:t>考核选手个人理财业务技能、代理保险业务技能和金融产品营销能等。</w:t>
      </w:r>
    </w:p>
    <w:p>
      <w:pPr>
        <w:snapToGrid w:val="0"/>
        <w:spacing w:line="360" w:lineRule="auto"/>
        <w:ind w:firstLine="480" w:firstLineChars="200"/>
        <w:rPr>
          <w:rFonts w:ascii="仿宋" w:hAnsi="仿宋" w:eastAsia="仿宋"/>
          <w:sz w:val="24"/>
        </w:rPr>
      </w:pPr>
      <w:r>
        <w:rPr>
          <w:rFonts w:hint="eastAsia" w:ascii="仿宋" w:hAnsi="仿宋" w:eastAsia="仿宋"/>
          <w:sz w:val="24"/>
        </w:rPr>
        <w:t>3.票据业务处理</w:t>
      </w:r>
    </w:p>
    <w:p>
      <w:pPr>
        <w:snapToGrid w:val="0"/>
        <w:spacing w:line="360" w:lineRule="auto"/>
        <w:ind w:firstLine="480" w:firstLineChars="200"/>
        <w:rPr>
          <w:rFonts w:ascii="仿宋" w:hAnsi="仿宋" w:eastAsia="仿宋"/>
          <w:sz w:val="24"/>
        </w:rPr>
      </w:pPr>
      <w:r>
        <w:rPr>
          <w:rFonts w:hint="eastAsia" w:ascii="仿宋" w:hAnsi="仿宋" w:eastAsia="仿宋"/>
          <w:sz w:val="24"/>
        </w:rPr>
        <w:t>考核选手的商业银行票据业务处理能力，包括票据审核能力考核、支票业务处理能力考核、汇票业务处理能力考核等。</w:t>
      </w:r>
    </w:p>
    <w:p>
      <w:pPr>
        <w:spacing w:line="360" w:lineRule="auto"/>
        <w:rPr>
          <w:rFonts w:ascii="仿宋" w:hAnsi="仿宋" w:eastAsia="仿宋"/>
          <w:b/>
          <w:sz w:val="24"/>
        </w:rPr>
      </w:pPr>
      <w:r>
        <w:rPr>
          <w:rFonts w:ascii="仿宋" w:hAnsi="仿宋" w:eastAsia="仿宋"/>
          <w:b/>
          <w:sz w:val="24"/>
        </w:rPr>
        <w:t>竞赛日程安排与流程：</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pacing w:line="360" w:lineRule="auto"/>
              <w:rPr>
                <w:szCs w:val="21"/>
              </w:rPr>
            </w:pPr>
            <w:r>
              <w:rPr>
                <w:rFonts w:hint="eastAsia"/>
                <w:szCs w:val="21"/>
              </w:rPr>
              <w:t>日期</w:t>
            </w:r>
          </w:p>
        </w:tc>
        <w:tc>
          <w:tcPr>
            <w:tcW w:w="7563" w:type="dxa"/>
          </w:tcPr>
          <w:p>
            <w:pPr>
              <w:spacing w:line="360" w:lineRule="auto"/>
              <w:rPr>
                <w:szCs w:val="21"/>
              </w:rPr>
            </w:pPr>
            <w:r>
              <w:rPr>
                <w:rFonts w:hint="eastAsia"/>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pacing w:line="360" w:lineRule="auto"/>
              <w:rPr>
                <w:szCs w:val="21"/>
              </w:rPr>
            </w:pPr>
            <w:r>
              <w:rPr>
                <w:rFonts w:hint="eastAsia"/>
                <w:szCs w:val="21"/>
              </w:rPr>
              <w:t>第一天</w:t>
            </w:r>
          </w:p>
        </w:tc>
        <w:tc>
          <w:tcPr>
            <w:tcW w:w="7563" w:type="dxa"/>
          </w:tcPr>
          <w:p>
            <w:pPr>
              <w:spacing w:line="360" w:lineRule="auto"/>
              <w:rPr>
                <w:szCs w:val="21"/>
              </w:rPr>
            </w:pPr>
            <w:r>
              <w:rPr>
                <w:szCs w:val="21"/>
              </w:rPr>
              <w:t>代表队报到、熟悉赛场、召开领队、指导老师会议、按队伍数抽取第二天检录顺序号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pacing w:line="360" w:lineRule="auto"/>
              <w:rPr>
                <w:szCs w:val="21"/>
              </w:rPr>
            </w:pPr>
            <w:r>
              <w:rPr>
                <w:rFonts w:hint="eastAsia"/>
                <w:szCs w:val="21"/>
              </w:rPr>
              <w:t>第二天</w:t>
            </w:r>
          </w:p>
        </w:tc>
        <w:tc>
          <w:tcPr>
            <w:tcW w:w="7563" w:type="dxa"/>
          </w:tcPr>
          <w:p>
            <w:pPr>
              <w:spacing w:line="360" w:lineRule="auto"/>
              <w:rPr>
                <w:szCs w:val="21"/>
              </w:rPr>
            </w:pPr>
            <w:r>
              <w:rPr>
                <w:szCs w:val="21"/>
              </w:rPr>
              <w:t>第一场选手比赛（银行</w:t>
            </w:r>
            <w:r>
              <w:rPr>
                <w:rFonts w:hint="eastAsia"/>
                <w:szCs w:val="21"/>
              </w:rPr>
              <w:t>从业</w:t>
            </w:r>
            <w:r>
              <w:rPr>
                <w:szCs w:val="21"/>
              </w:rPr>
              <w:t>知识赛项）、第二场选手比赛（银行业务</w:t>
            </w:r>
            <w:r>
              <w:rPr>
                <w:rFonts w:hint="eastAsia"/>
                <w:szCs w:val="21"/>
              </w:rPr>
              <w:t>能力</w:t>
            </w:r>
            <w:r>
              <w:rPr>
                <w:szCs w:val="21"/>
              </w:rPr>
              <w:t>赛项）、第三场选手比赛（银行</w:t>
            </w:r>
            <w:r>
              <w:rPr>
                <w:rFonts w:hint="eastAsia"/>
                <w:szCs w:val="21"/>
              </w:rPr>
              <w:t>基本</w:t>
            </w:r>
            <w:r>
              <w:rPr>
                <w:szCs w:val="21"/>
              </w:rPr>
              <w:t>技能赛项）</w:t>
            </w:r>
          </w:p>
        </w:tc>
      </w:tr>
    </w:tbl>
    <w:p>
      <w:pPr>
        <w:spacing w:line="360" w:lineRule="auto"/>
        <w:rPr>
          <w:color w:val="FF0000"/>
          <w:sz w:val="24"/>
        </w:rPr>
      </w:pPr>
    </w:p>
    <w:p>
      <w:pPr>
        <w:spacing w:line="360" w:lineRule="auto"/>
        <w:ind w:firstLine="551" w:firstLineChars="196"/>
        <w:rPr>
          <w:rFonts w:ascii="仿宋" w:hAnsi="仿宋" w:eastAsia="仿宋"/>
          <w:b/>
          <w:sz w:val="28"/>
          <w:szCs w:val="28"/>
        </w:rPr>
      </w:pPr>
      <w:r>
        <w:rPr>
          <w:rFonts w:ascii="仿宋" w:hAnsi="仿宋" w:eastAsia="仿宋"/>
          <w:b/>
          <w:sz w:val="28"/>
          <w:szCs w:val="28"/>
        </w:rPr>
        <w:t>四、竞赛方式</w:t>
      </w:r>
    </w:p>
    <w:p>
      <w:pPr>
        <w:spacing w:line="360" w:lineRule="auto"/>
        <w:ind w:firstLine="480" w:firstLineChars="200"/>
        <w:rPr>
          <w:rFonts w:ascii="仿宋" w:hAnsi="仿宋" w:eastAsia="仿宋"/>
          <w:sz w:val="24"/>
        </w:rPr>
      </w:pPr>
      <w:r>
        <w:rPr>
          <w:rFonts w:hint="eastAsia" w:ascii="仿宋" w:hAnsi="仿宋" w:eastAsia="仿宋"/>
          <w:sz w:val="24"/>
        </w:rPr>
        <w:t>本赛项为团体赛，以院校为单位组队参赛，每支参赛队由</w:t>
      </w:r>
      <w:r>
        <w:rPr>
          <w:rFonts w:ascii="仿宋" w:hAnsi="仿宋" w:eastAsia="仿宋"/>
          <w:sz w:val="24"/>
        </w:rPr>
        <w:t>4</w:t>
      </w:r>
      <w:r>
        <w:rPr>
          <w:rFonts w:hint="eastAsia" w:ascii="仿宋" w:hAnsi="仿宋" w:eastAsia="仿宋"/>
          <w:sz w:val="24"/>
        </w:rPr>
        <w:t>名选手组成，须为同校在籍学生，性别和年级不限，可配1名领队、指导教师</w:t>
      </w:r>
      <w:r>
        <w:rPr>
          <w:rFonts w:hint="eastAsia" w:ascii="仿宋" w:hAnsi="仿宋" w:eastAsia="仿宋"/>
          <w:sz w:val="24"/>
          <w:lang w:eastAsia="zh-CN"/>
        </w:rPr>
        <w:t>不超过</w:t>
      </w:r>
      <w:r>
        <w:rPr>
          <w:rFonts w:hint="eastAsia" w:ascii="仿宋" w:hAnsi="仿宋" w:eastAsia="仿宋"/>
          <w:sz w:val="24"/>
        </w:rPr>
        <w:t>选手</w:t>
      </w:r>
      <w:r>
        <w:rPr>
          <w:rFonts w:hint="eastAsia" w:ascii="仿宋" w:hAnsi="仿宋" w:eastAsia="仿宋"/>
          <w:sz w:val="24"/>
          <w:lang w:eastAsia="zh-CN"/>
        </w:rPr>
        <w:t>人数</w:t>
      </w:r>
      <w:r>
        <w:rPr>
          <w:rFonts w:hint="eastAsia" w:ascii="仿宋" w:hAnsi="仿宋" w:eastAsia="仿宋"/>
          <w:sz w:val="24"/>
          <w:lang w:val="en-US" w:eastAsia="zh-CN"/>
        </w:rPr>
        <w:t>(到时国赛只能2名)</w:t>
      </w:r>
      <w:r>
        <w:rPr>
          <w:rFonts w:hint="eastAsia" w:ascii="仿宋" w:hAnsi="仿宋" w:eastAsia="仿宋"/>
          <w:sz w:val="24"/>
        </w:rPr>
        <w:t>。</w:t>
      </w:r>
    </w:p>
    <w:p>
      <w:pPr>
        <w:spacing w:line="360" w:lineRule="auto"/>
        <w:rPr>
          <w:rFonts w:ascii="仿宋" w:hAnsi="仿宋" w:eastAsia="仿宋"/>
          <w:sz w:val="24"/>
        </w:rPr>
      </w:pPr>
      <w:r>
        <w:rPr>
          <w:rFonts w:hint="eastAsia" w:ascii="仿宋" w:hAnsi="仿宋" w:eastAsia="仿宋"/>
          <w:sz w:val="24"/>
        </w:rPr>
        <w:t xml:space="preserve">    “银行从业知识”竞赛、“银行基本技能”竞赛、“银行业务能力”竞赛由每支参赛队4名选手分别独立完成。其中，“银行基本技能”竞赛由每位参赛选手选择“传票算”、“字符录入”、“手工点钞”、“货币防伪与鉴别”四个单项的其中一项进行比赛，不得重复。</w:t>
      </w:r>
    </w:p>
    <w:p>
      <w:pPr>
        <w:spacing w:line="360" w:lineRule="auto"/>
        <w:ind w:firstLine="551" w:firstLineChars="196"/>
        <w:rPr>
          <w:rFonts w:ascii="仿宋" w:hAnsi="仿宋" w:eastAsia="仿宋"/>
          <w:sz w:val="24"/>
        </w:rPr>
      </w:pPr>
      <w:r>
        <w:rPr>
          <w:rFonts w:ascii="仿宋" w:hAnsi="仿宋" w:eastAsia="仿宋"/>
          <w:b/>
          <w:sz w:val="28"/>
          <w:szCs w:val="28"/>
        </w:rPr>
        <w:t>五、竞赛试题</w:t>
      </w:r>
    </w:p>
    <w:p>
      <w:pPr>
        <w:spacing w:line="360" w:lineRule="auto"/>
        <w:ind w:firstLine="480" w:firstLineChars="200"/>
        <w:rPr>
          <w:rFonts w:ascii="仿宋" w:hAnsi="仿宋" w:eastAsia="仿宋"/>
          <w:sz w:val="24"/>
        </w:rPr>
      </w:pPr>
      <w:r>
        <w:rPr>
          <w:rFonts w:ascii="仿宋" w:hAnsi="仿宋" w:eastAsia="仿宋"/>
          <w:sz w:val="24"/>
        </w:rPr>
        <w:t>本赛项竞赛试题采用题库方式，为确保竞赛试题公平公正，在原有练习试题库的基础上建立三套竞赛试题库密封保存，赛前由监督从这三套题库中随机抽取一套导入竞赛平台。</w:t>
      </w:r>
    </w:p>
    <w:p>
      <w:pPr>
        <w:spacing w:line="360" w:lineRule="auto"/>
        <w:ind w:firstLine="551" w:firstLineChars="196"/>
        <w:rPr>
          <w:rFonts w:ascii="仿宋" w:hAnsi="仿宋" w:eastAsia="仿宋"/>
          <w:b/>
          <w:sz w:val="28"/>
          <w:szCs w:val="28"/>
        </w:rPr>
      </w:pPr>
      <w:r>
        <w:rPr>
          <w:rFonts w:ascii="仿宋" w:hAnsi="仿宋" w:eastAsia="仿宋"/>
          <w:b/>
          <w:sz w:val="28"/>
          <w:szCs w:val="28"/>
        </w:rPr>
        <w:t>六、竞赛规则</w:t>
      </w:r>
    </w:p>
    <w:p>
      <w:pPr>
        <w:spacing w:line="360" w:lineRule="auto"/>
        <w:ind w:firstLine="480" w:firstLineChars="200"/>
        <w:rPr>
          <w:rFonts w:ascii="仿宋" w:hAnsi="仿宋" w:eastAsia="仿宋"/>
          <w:sz w:val="24"/>
        </w:rPr>
      </w:pPr>
      <w:r>
        <w:rPr>
          <w:rFonts w:ascii="仿宋" w:hAnsi="仿宋" w:eastAsia="仿宋"/>
          <w:sz w:val="24"/>
        </w:rPr>
        <w:t>1.参赛选手应认真学习领会本次竞赛相关文件，自觉遵守大赛纪律，服从指挥，听从安排，文明参赛。</w:t>
      </w:r>
    </w:p>
    <w:p>
      <w:pPr>
        <w:spacing w:line="360" w:lineRule="auto"/>
        <w:ind w:firstLine="480" w:firstLineChars="200"/>
        <w:rPr>
          <w:rFonts w:ascii="仿宋" w:hAnsi="仿宋" w:eastAsia="仿宋"/>
          <w:sz w:val="24"/>
        </w:rPr>
      </w:pPr>
      <w:r>
        <w:rPr>
          <w:rFonts w:ascii="仿宋" w:hAnsi="仿宋" w:eastAsia="仿宋"/>
          <w:sz w:val="24"/>
        </w:rPr>
        <w:t>2.参赛选手请勿携带与竞赛无关的电子设备、通讯设备及其他相关资料与用品。</w:t>
      </w:r>
    </w:p>
    <w:p>
      <w:pPr>
        <w:spacing w:line="360" w:lineRule="auto"/>
        <w:ind w:firstLine="480" w:firstLineChars="200"/>
        <w:rPr>
          <w:rFonts w:ascii="仿宋" w:hAnsi="仿宋" w:eastAsia="仿宋"/>
          <w:sz w:val="24"/>
        </w:rPr>
      </w:pPr>
      <w:r>
        <w:rPr>
          <w:rFonts w:ascii="仿宋" w:hAnsi="仿宋" w:eastAsia="仿宋"/>
          <w:sz w:val="24"/>
        </w:rPr>
        <w:t>3.参赛选手应在比赛时间提前</w:t>
      </w:r>
      <w:r>
        <w:rPr>
          <w:rFonts w:hint="eastAsia" w:ascii="仿宋" w:hAnsi="仿宋" w:eastAsia="仿宋"/>
          <w:sz w:val="24"/>
        </w:rPr>
        <w:t>30</w:t>
      </w:r>
      <w:r>
        <w:rPr>
          <w:rFonts w:ascii="仿宋" w:hAnsi="仿宋" w:eastAsia="仿宋"/>
          <w:sz w:val="24"/>
        </w:rPr>
        <w:t>分钟到达指定场所，不得迟到，凭参赛证、身份证检录。工作人员负责核对参赛选手信息，检录信息表交给监督人员保管。检录后选手身份证交给指导老师代管，代表队按照比赛前一天下午抽取的顺序号排好队，每位选手抽取赛场座位号对号入座。</w:t>
      </w:r>
    </w:p>
    <w:p>
      <w:pPr>
        <w:spacing w:line="360" w:lineRule="auto"/>
        <w:ind w:firstLine="480" w:firstLineChars="200"/>
        <w:rPr>
          <w:rFonts w:ascii="仿宋" w:hAnsi="仿宋" w:eastAsia="仿宋"/>
          <w:sz w:val="24"/>
        </w:rPr>
      </w:pPr>
      <w:r>
        <w:rPr>
          <w:rFonts w:ascii="仿宋" w:hAnsi="仿宋" w:eastAsia="仿宋"/>
          <w:sz w:val="24"/>
        </w:rPr>
        <w:t>4.参赛选手入场后不得早退。未进行检录的选手，视为放弃比赛。</w:t>
      </w:r>
    </w:p>
    <w:p>
      <w:pPr>
        <w:spacing w:line="360" w:lineRule="auto"/>
        <w:ind w:firstLine="480" w:firstLineChars="200"/>
        <w:rPr>
          <w:rFonts w:ascii="仿宋" w:hAnsi="仿宋" w:eastAsia="仿宋"/>
          <w:sz w:val="24"/>
        </w:rPr>
      </w:pPr>
      <w:r>
        <w:rPr>
          <w:rFonts w:ascii="仿宋" w:hAnsi="仿宋" w:eastAsia="仿宋"/>
          <w:sz w:val="24"/>
        </w:rPr>
        <w:t>5.在竞赛过程中，如有疑问，参赛选手应举手示意，裁判人员应按照有关要求及时予以答疑。确因是计算机软件或硬件故障，致使操作无法继续的，经裁判长确认后，予以启用备用计算机。</w:t>
      </w:r>
    </w:p>
    <w:p>
      <w:pPr>
        <w:spacing w:line="360" w:lineRule="auto"/>
        <w:ind w:firstLine="480" w:firstLineChars="200"/>
        <w:rPr>
          <w:rFonts w:ascii="仿宋" w:hAnsi="仿宋" w:eastAsia="仿宋"/>
          <w:sz w:val="24"/>
        </w:rPr>
      </w:pPr>
      <w:r>
        <w:rPr>
          <w:rFonts w:ascii="仿宋" w:hAnsi="仿宋" w:eastAsia="仿宋"/>
          <w:sz w:val="24"/>
        </w:rPr>
        <w:t>6.参赛代表队若对赛事有异议，必需由参赛队领队按规程提出书面申诉。</w:t>
      </w:r>
    </w:p>
    <w:p>
      <w:pPr>
        <w:spacing w:line="360" w:lineRule="auto"/>
        <w:ind w:firstLine="551" w:firstLineChars="196"/>
        <w:rPr>
          <w:rFonts w:ascii="仿宋" w:hAnsi="仿宋" w:eastAsia="仿宋"/>
          <w:sz w:val="24"/>
        </w:rPr>
      </w:pPr>
      <w:r>
        <w:rPr>
          <w:rFonts w:ascii="仿宋" w:hAnsi="仿宋" w:eastAsia="仿宋"/>
          <w:b/>
          <w:sz w:val="28"/>
          <w:szCs w:val="28"/>
        </w:rPr>
        <w:t>七、竞赛环境</w:t>
      </w:r>
    </w:p>
    <w:p>
      <w:pPr>
        <w:spacing w:line="360" w:lineRule="auto"/>
        <w:ind w:firstLine="480" w:firstLineChars="200"/>
        <w:rPr>
          <w:rFonts w:ascii="仿宋" w:hAnsi="仿宋" w:eastAsia="仿宋"/>
          <w:sz w:val="24"/>
        </w:rPr>
      </w:pPr>
      <w:r>
        <w:rPr>
          <w:rFonts w:ascii="仿宋" w:hAnsi="仿宋" w:eastAsia="仿宋"/>
          <w:sz w:val="24"/>
        </w:rPr>
        <w:t>1.有独立使用的计算机设施，每个队员一台电脑，保证各个队员在竞赛时的独立性，不受外界干扰。满足多队同时比赛。竞赛场地采光、通风良好。</w:t>
      </w:r>
    </w:p>
    <w:p>
      <w:pPr>
        <w:spacing w:line="360" w:lineRule="auto"/>
        <w:ind w:firstLine="480" w:firstLineChars="200"/>
        <w:rPr>
          <w:rFonts w:ascii="仿宋" w:hAnsi="仿宋" w:eastAsia="仿宋"/>
          <w:sz w:val="24"/>
        </w:rPr>
      </w:pPr>
      <w:r>
        <w:rPr>
          <w:rFonts w:ascii="仿宋" w:hAnsi="仿宋" w:eastAsia="仿宋"/>
          <w:sz w:val="24"/>
        </w:rPr>
        <w:t>2. 比赛场地分别为每个选手配备比赛用桌、椅。</w:t>
      </w:r>
    </w:p>
    <w:p>
      <w:pPr>
        <w:spacing w:line="360" w:lineRule="auto"/>
        <w:ind w:firstLine="480" w:firstLineChars="200"/>
        <w:rPr>
          <w:rFonts w:ascii="仿宋" w:hAnsi="仿宋" w:eastAsia="仿宋"/>
          <w:sz w:val="24"/>
        </w:rPr>
      </w:pPr>
      <w:r>
        <w:rPr>
          <w:rFonts w:ascii="仿宋" w:hAnsi="仿宋" w:eastAsia="仿宋"/>
          <w:sz w:val="24"/>
        </w:rPr>
        <w:t>3．使用的设施设备，性能一致，保证竞赛的公平性。</w:t>
      </w:r>
    </w:p>
    <w:p>
      <w:pPr>
        <w:spacing w:line="360" w:lineRule="auto"/>
        <w:ind w:firstLine="480" w:firstLineChars="200"/>
        <w:rPr>
          <w:rFonts w:ascii="仿宋" w:hAnsi="仿宋" w:eastAsia="仿宋"/>
          <w:sz w:val="24"/>
        </w:rPr>
      </w:pPr>
      <w:r>
        <w:rPr>
          <w:rFonts w:ascii="仿宋" w:hAnsi="仿宋" w:eastAsia="仿宋"/>
          <w:sz w:val="24"/>
        </w:rPr>
        <w:t>4．竞赛场地分别设置有裁判工作室和裁判休息室。</w:t>
      </w:r>
    </w:p>
    <w:p>
      <w:pPr>
        <w:spacing w:line="360" w:lineRule="auto"/>
        <w:ind w:firstLine="551" w:firstLineChars="196"/>
        <w:rPr>
          <w:rFonts w:ascii="仿宋" w:hAnsi="仿宋" w:eastAsia="仿宋"/>
          <w:b/>
          <w:sz w:val="28"/>
          <w:szCs w:val="28"/>
        </w:rPr>
      </w:pPr>
      <w:r>
        <w:rPr>
          <w:rFonts w:ascii="仿宋" w:hAnsi="仿宋" w:eastAsia="仿宋"/>
          <w:b/>
          <w:sz w:val="28"/>
          <w:szCs w:val="28"/>
        </w:rPr>
        <w:t>八、技术规范</w:t>
      </w:r>
    </w:p>
    <w:p>
      <w:pPr>
        <w:spacing w:line="360" w:lineRule="auto"/>
        <w:ind w:firstLine="480" w:firstLineChars="200"/>
        <w:rPr>
          <w:rFonts w:ascii="仿宋" w:hAnsi="仿宋" w:eastAsia="仿宋"/>
          <w:sz w:val="24"/>
        </w:rPr>
      </w:pPr>
      <w:r>
        <w:rPr>
          <w:rFonts w:hint="eastAsia" w:ascii="仿宋" w:hAnsi="仿宋" w:eastAsia="仿宋"/>
          <w:sz w:val="24"/>
        </w:rPr>
        <w:t>赛项竞赛内容符合国内金融机构业务技术规范，竞赛软件平台采用相同的技术标准、业务流程、业务规范设计。</w:t>
      </w:r>
    </w:p>
    <w:p>
      <w:pPr>
        <w:spacing w:line="360" w:lineRule="auto"/>
        <w:ind w:firstLine="480" w:firstLineChars="200"/>
        <w:rPr>
          <w:rFonts w:ascii="仿宋" w:hAnsi="仿宋" w:eastAsia="仿宋"/>
          <w:sz w:val="24"/>
        </w:rPr>
      </w:pPr>
      <w:r>
        <w:rPr>
          <w:rFonts w:hint="eastAsia" w:ascii="仿宋" w:hAnsi="仿宋" w:eastAsia="仿宋"/>
          <w:sz w:val="24"/>
        </w:rPr>
        <w:t>（一）B/S架构</w:t>
      </w:r>
    </w:p>
    <w:p>
      <w:pPr>
        <w:spacing w:line="360" w:lineRule="auto"/>
        <w:ind w:firstLine="480" w:firstLineChars="200"/>
        <w:rPr>
          <w:rFonts w:ascii="仿宋" w:hAnsi="仿宋" w:eastAsia="仿宋"/>
          <w:sz w:val="24"/>
        </w:rPr>
      </w:pPr>
      <w:r>
        <w:rPr>
          <w:rFonts w:hint="eastAsia" w:ascii="仿宋" w:hAnsi="仿宋" w:eastAsia="仿宋"/>
          <w:sz w:val="24"/>
        </w:rPr>
        <w:t>竞赛平台采用B/S结构，能支持远程应用，可通过局域网或互联网连接登录使用。由竞赛技术支持单位提供技术支持。</w:t>
      </w:r>
    </w:p>
    <w:p>
      <w:pPr>
        <w:spacing w:line="360" w:lineRule="auto"/>
        <w:ind w:firstLine="480" w:firstLineChars="200"/>
        <w:rPr>
          <w:rFonts w:ascii="仿宋" w:hAnsi="仿宋" w:eastAsia="仿宋"/>
          <w:sz w:val="24"/>
        </w:rPr>
      </w:pPr>
      <w:r>
        <w:rPr>
          <w:rFonts w:hint="eastAsia" w:ascii="仿宋" w:hAnsi="仿宋" w:eastAsia="仿宋"/>
          <w:sz w:val="24"/>
        </w:rPr>
        <w:t>（二）三层结构</w:t>
      </w:r>
    </w:p>
    <w:p>
      <w:pPr>
        <w:spacing w:line="360" w:lineRule="auto"/>
        <w:ind w:firstLine="480" w:firstLineChars="200"/>
        <w:rPr>
          <w:rFonts w:ascii="仿宋" w:hAnsi="仿宋" w:eastAsia="仿宋"/>
          <w:sz w:val="24"/>
        </w:rPr>
      </w:pPr>
      <w:r>
        <w:rPr>
          <w:rFonts w:hint="eastAsia" w:ascii="仿宋" w:hAnsi="仿宋" w:eastAsia="仿宋"/>
          <w:sz w:val="24"/>
        </w:rPr>
        <w:t>软件的设计包括数据库层、应用服务器层、操作层。系统扩展能力强，可以满足上百个小组或数千人同时竞赛。</w:t>
      </w:r>
    </w:p>
    <w:p>
      <w:pPr>
        <w:spacing w:line="360" w:lineRule="auto"/>
        <w:ind w:firstLine="480" w:firstLineChars="200"/>
        <w:rPr>
          <w:rFonts w:ascii="仿宋" w:hAnsi="仿宋" w:eastAsia="仿宋"/>
          <w:sz w:val="24"/>
        </w:rPr>
      </w:pPr>
      <w:r>
        <w:rPr>
          <w:rFonts w:hint="eastAsia" w:ascii="仿宋" w:hAnsi="仿宋" w:eastAsia="仿宋"/>
          <w:sz w:val="24"/>
        </w:rPr>
        <w:t>（三）数据库</w:t>
      </w:r>
    </w:p>
    <w:p>
      <w:pPr>
        <w:spacing w:line="360" w:lineRule="auto"/>
        <w:ind w:firstLine="480" w:firstLineChars="200"/>
        <w:rPr>
          <w:rFonts w:ascii="仿宋" w:hAnsi="仿宋" w:eastAsia="仿宋"/>
          <w:sz w:val="24"/>
        </w:rPr>
      </w:pPr>
      <w:r>
        <w:rPr>
          <w:rFonts w:hint="eastAsia" w:ascii="仿宋" w:hAnsi="仿宋" w:eastAsia="仿宋"/>
          <w:sz w:val="24"/>
        </w:rPr>
        <w:t>软件后台采用SQL Server 2008 R2专业数据库系统，数据安全性较高。</w:t>
      </w:r>
    </w:p>
    <w:p>
      <w:pPr>
        <w:spacing w:line="360" w:lineRule="auto"/>
        <w:ind w:firstLine="480" w:firstLineChars="200"/>
        <w:rPr>
          <w:rFonts w:ascii="仿宋" w:hAnsi="仿宋" w:eastAsia="仿宋"/>
          <w:sz w:val="24"/>
        </w:rPr>
      </w:pPr>
      <w:r>
        <w:rPr>
          <w:rFonts w:hint="eastAsia" w:ascii="仿宋" w:hAnsi="仿宋" w:eastAsia="仿宋"/>
          <w:sz w:val="24"/>
        </w:rPr>
        <w:t>（四）软件知识产权</w:t>
      </w:r>
    </w:p>
    <w:p>
      <w:pPr>
        <w:spacing w:line="360" w:lineRule="auto"/>
        <w:ind w:firstLine="480" w:firstLineChars="200"/>
        <w:rPr>
          <w:rFonts w:ascii="仿宋" w:hAnsi="仿宋" w:eastAsia="仿宋"/>
          <w:sz w:val="24"/>
        </w:rPr>
      </w:pPr>
      <w:r>
        <w:rPr>
          <w:rFonts w:hint="eastAsia" w:ascii="仿宋" w:hAnsi="仿宋" w:eastAsia="仿宋"/>
          <w:sz w:val="24"/>
        </w:rPr>
        <w:t>软件需具有独立知识产权，拥有软件著作权证书和软件产品登记证书。</w:t>
      </w:r>
      <w:r>
        <w:rPr>
          <w:rFonts w:ascii="仿宋" w:hAnsi="仿宋" w:eastAsia="仿宋"/>
          <w:sz w:val="24"/>
        </w:rPr>
        <w:t>本赛项竞赛内容符合国内商业银行综合业务技术规范，竞赛软件平台采用商业银行综合业务相同的技术标准、业务流程、业务规范设计。</w:t>
      </w:r>
    </w:p>
    <w:p>
      <w:pPr>
        <w:snapToGrid w:val="0"/>
        <w:spacing w:line="360" w:lineRule="auto"/>
        <w:ind w:firstLine="562" w:firstLineChars="200"/>
        <w:rPr>
          <w:rFonts w:ascii="仿宋" w:hAnsi="仿宋" w:eastAsia="仿宋"/>
          <w:b/>
          <w:sz w:val="28"/>
          <w:szCs w:val="28"/>
        </w:rPr>
      </w:pPr>
    </w:p>
    <w:p>
      <w:pPr>
        <w:snapToGrid w:val="0"/>
        <w:spacing w:line="360" w:lineRule="auto"/>
        <w:ind w:firstLine="562" w:firstLineChars="200"/>
        <w:rPr>
          <w:rFonts w:ascii="仿宋" w:hAnsi="仿宋" w:eastAsia="仿宋"/>
          <w:b/>
          <w:sz w:val="28"/>
          <w:szCs w:val="28"/>
        </w:rPr>
      </w:pPr>
      <w:r>
        <w:rPr>
          <w:rFonts w:ascii="仿宋" w:hAnsi="仿宋" w:eastAsia="仿宋"/>
          <w:b/>
          <w:sz w:val="28"/>
          <w:szCs w:val="28"/>
        </w:rPr>
        <w:t>九、使用的竞赛器材、竞赛平台</w:t>
      </w:r>
    </w:p>
    <w:p>
      <w:pPr>
        <w:snapToGrid w:val="0"/>
        <w:spacing w:line="360" w:lineRule="auto"/>
        <w:ind w:firstLine="480" w:firstLineChars="200"/>
        <w:rPr>
          <w:rFonts w:ascii="仿宋" w:hAnsi="仿宋" w:eastAsia="仿宋"/>
          <w:sz w:val="24"/>
        </w:rPr>
      </w:pPr>
      <w:r>
        <w:rPr>
          <w:rFonts w:ascii="仿宋" w:hAnsi="仿宋" w:eastAsia="仿宋"/>
          <w:sz w:val="24"/>
        </w:rPr>
        <w:t>（一）竞赛器材</w:t>
      </w:r>
    </w:p>
    <w:p>
      <w:pPr>
        <w:snapToGrid w:val="0"/>
        <w:spacing w:line="360" w:lineRule="auto"/>
        <w:ind w:firstLine="480" w:firstLineChars="200"/>
        <w:rPr>
          <w:sz w:val="24"/>
        </w:rPr>
      </w:pPr>
      <w:r>
        <w:rPr>
          <w:rFonts w:hint="eastAsia" w:ascii="仿宋" w:hAnsi="仿宋" w:eastAsia="仿宋"/>
          <w:sz w:val="24"/>
        </w:rPr>
        <w:t>竞赛所需器材包括服务器2台，计算机200台、练功券、传票本等。具体要求如下：</w:t>
      </w:r>
    </w:p>
    <w:tbl>
      <w:tblPr>
        <w:tblStyle w:val="8"/>
        <w:tblW w:w="7892" w:type="dxa"/>
        <w:jc w:val="center"/>
        <w:tblInd w:w="4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992"/>
        <w:gridCol w:w="5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1778" w:type="dxa"/>
            <w:vAlign w:val="center"/>
          </w:tcPr>
          <w:p>
            <w:pPr>
              <w:spacing w:line="360" w:lineRule="auto"/>
              <w:jc w:val="center"/>
              <w:rPr>
                <w:b/>
                <w:szCs w:val="21"/>
              </w:rPr>
            </w:pPr>
            <w:r>
              <w:rPr>
                <w:rFonts w:hint="eastAsia"/>
                <w:b/>
                <w:szCs w:val="21"/>
              </w:rPr>
              <w:t>器材类型</w:t>
            </w:r>
          </w:p>
        </w:tc>
        <w:tc>
          <w:tcPr>
            <w:tcW w:w="992" w:type="dxa"/>
            <w:vAlign w:val="center"/>
          </w:tcPr>
          <w:p>
            <w:pPr>
              <w:spacing w:line="360" w:lineRule="auto"/>
              <w:jc w:val="center"/>
              <w:rPr>
                <w:b/>
                <w:szCs w:val="21"/>
              </w:rPr>
            </w:pPr>
            <w:r>
              <w:rPr>
                <w:rFonts w:hint="eastAsia"/>
                <w:b/>
                <w:szCs w:val="21"/>
              </w:rPr>
              <w:t>数量</w:t>
            </w:r>
          </w:p>
        </w:tc>
        <w:tc>
          <w:tcPr>
            <w:tcW w:w="5122" w:type="dxa"/>
            <w:vAlign w:val="center"/>
          </w:tcPr>
          <w:p>
            <w:pPr>
              <w:spacing w:line="360" w:lineRule="auto"/>
              <w:jc w:val="center"/>
              <w:rPr>
                <w:b/>
                <w:szCs w:val="21"/>
              </w:rPr>
            </w:pPr>
            <w:r>
              <w:rPr>
                <w:rFonts w:hint="eastAsia"/>
                <w:b/>
                <w:szCs w:val="21"/>
              </w:rPr>
              <w:t>硬件配置要求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6" w:hRule="atLeast"/>
          <w:jc w:val="center"/>
        </w:trPr>
        <w:tc>
          <w:tcPr>
            <w:tcW w:w="1778" w:type="dxa"/>
            <w:vAlign w:val="center"/>
          </w:tcPr>
          <w:p>
            <w:pPr>
              <w:spacing w:line="360" w:lineRule="auto"/>
              <w:rPr>
                <w:szCs w:val="21"/>
              </w:rPr>
            </w:pPr>
            <w:r>
              <w:rPr>
                <w:rFonts w:hint="eastAsia"/>
                <w:szCs w:val="21"/>
              </w:rPr>
              <w:t>竞赛专用练功券</w:t>
            </w:r>
          </w:p>
        </w:tc>
        <w:tc>
          <w:tcPr>
            <w:tcW w:w="992" w:type="dxa"/>
            <w:vAlign w:val="center"/>
          </w:tcPr>
          <w:p>
            <w:pPr>
              <w:spacing w:line="360" w:lineRule="auto"/>
              <w:jc w:val="center"/>
              <w:rPr>
                <w:szCs w:val="21"/>
              </w:rPr>
            </w:pPr>
            <w:r>
              <w:rPr>
                <w:rFonts w:hint="eastAsia"/>
                <w:szCs w:val="21"/>
              </w:rPr>
              <w:t>30套</w:t>
            </w:r>
          </w:p>
        </w:tc>
        <w:tc>
          <w:tcPr>
            <w:tcW w:w="5122" w:type="dxa"/>
            <w:vAlign w:val="center"/>
          </w:tcPr>
          <w:p>
            <w:pPr>
              <w:spacing w:line="360" w:lineRule="auto"/>
              <w:rPr>
                <w:szCs w:val="21"/>
              </w:rPr>
            </w:pPr>
            <w:r>
              <w:rPr>
                <w:rFonts w:hint="eastAsia"/>
                <w:szCs w:val="21"/>
              </w:rPr>
              <w:t>每套分8种面额，包括100元、50元、20元、10元、5元、2元、1元、5角各4捆，每捆100张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1778" w:type="dxa"/>
            <w:vAlign w:val="center"/>
          </w:tcPr>
          <w:p>
            <w:pPr>
              <w:spacing w:line="360" w:lineRule="auto"/>
              <w:rPr>
                <w:szCs w:val="21"/>
              </w:rPr>
            </w:pPr>
            <w:r>
              <w:rPr>
                <w:rFonts w:hint="eastAsia"/>
                <w:szCs w:val="21"/>
              </w:rPr>
              <w:t>捆钞条</w:t>
            </w:r>
          </w:p>
        </w:tc>
        <w:tc>
          <w:tcPr>
            <w:tcW w:w="992" w:type="dxa"/>
            <w:vAlign w:val="center"/>
          </w:tcPr>
          <w:p>
            <w:pPr>
              <w:spacing w:line="360" w:lineRule="auto"/>
              <w:jc w:val="center"/>
              <w:rPr>
                <w:szCs w:val="21"/>
              </w:rPr>
            </w:pPr>
            <w:r>
              <w:rPr>
                <w:rFonts w:hint="eastAsia"/>
                <w:szCs w:val="21"/>
              </w:rPr>
              <w:t>1箱</w:t>
            </w:r>
          </w:p>
        </w:tc>
        <w:tc>
          <w:tcPr>
            <w:tcW w:w="5122" w:type="dxa"/>
            <w:vAlign w:val="center"/>
          </w:tcPr>
          <w:p>
            <w:pPr>
              <w:spacing w:line="360" w:lineRule="auto"/>
              <w:rPr>
                <w:szCs w:val="21"/>
              </w:rPr>
            </w:pPr>
            <w:r>
              <w:rPr>
                <w:rFonts w:hint="eastAsia"/>
                <w:szCs w:val="21"/>
              </w:rPr>
              <w:t>常用尺寸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8" w:hRule="atLeast"/>
          <w:jc w:val="center"/>
        </w:trPr>
        <w:tc>
          <w:tcPr>
            <w:tcW w:w="1778" w:type="dxa"/>
            <w:vAlign w:val="center"/>
          </w:tcPr>
          <w:p>
            <w:pPr>
              <w:spacing w:line="360" w:lineRule="auto"/>
              <w:rPr>
                <w:szCs w:val="21"/>
              </w:rPr>
            </w:pPr>
            <w:r>
              <w:rPr>
                <w:rFonts w:hint="eastAsia"/>
                <w:szCs w:val="21"/>
              </w:rPr>
              <w:t>点钞油、点钞蜡</w:t>
            </w:r>
          </w:p>
        </w:tc>
        <w:tc>
          <w:tcPr>
            <w:tcW w:w="992" w:type="dxa"/>
            <w:vAlign w:val="center"/>
          </w:tcPr>
          <w:p>
            <w:pPr>
              <w:spacing w:line="360" w:lineRule="auto"/>
              <w:jc w:val="center"/>
              <w:rPr>
                <w:szCs w:val="21"/>
              </w:rPr>
            </w:pPr>
            <w:r>
              <w:rPr>
                <w:rFonts w:hint="eastAsia"/>
                <w:szCs w:val="21"/>
              </w:rPr>
              <w:t>30套</w:t>
            </w:r>
          </w:p>
        </w:tc>
        <w:tc>
          <w:tcPr>
            <w:tcW w:w="5122" w:type="dxa"/>
            <w:vAlign w:val="center"/>
          </w:tcPr>
          <w:p>
            <w:pPr>
              <w:spacing w:line="360" w:lineRule="auto"/>
              <w:rPr>
                <w:szCs w:val="21"/>
              </w:rPr>
            </w:pPr>
            <w:r>
              <w:rPr>
                <w:rFonts w:hint="eastAsia"/>
                <w:szCs w:val="21"/>
              </w:rPr>
              <w:t>点钞专用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778" w:type="dxa"/>
            <w:vAlign w:val="center"/>
          </w:tcPr>
          <w:p>
            <w:pPr>
              <w:spacing w:line="360" w:lineRule="auto"/>
              <w:rPr>
                <w:szCs w:val="21"/>
              </w:rPr>
            </w:pPr>
            <w:r>
              <w:rPr>
                <w:rFonts w:hint="eastAsia"/>
                <w:szCs w:val="21"/>
              </w:rPr>
              <w:t>竞赛专用百张对角传票本</w:t>
            </w:r>
          </w:p>
        </w:tc>
        <w:tc>
          <w:tcPr>
            <w:tcW w:w="992" w:type="dxa"/>
            <w:vAlign w:val="center"/>
          </w:tcPr>
          <w:p>
            <w:pPr>
              <w:spacing w:line="360" w:lineRule="auto"/>
              <w:jc w:val="center"/>
              <w:rPr>
                <w:szCs w:val="21"/>
              </w:rPr>
            </w:pPr>
            <w:r>
              <w:rPr>
                <w:rFonts w:hint="eastAsia"/>
                <w:szCs w:val="21"/>
              </w:rPr>
              <w:t>30本</w:t>
            </w:r>
          </w:p>
        </w:tc>
        <w:tc>
          <w:tcPr>
            <w:tcW w:w="5122" w:type="dxa"/>
            <w:vAlign w:val="center"/>
          </w:tcPr>
          <w:p>
            <w:pPr>
              <w:spacing w:line="360" w:lineRule="auto"/>
              <w:rPr>
                <w:szCs w:val="21"/>
              </w:rPr>
            </w:pPr>
            <w:r>
              <w:rPr>
                <w:rFonts w:hint="eastAsia"/>
                <w:szCs w:val="21"/>
              </w:rPr>
              <w:t>根据竞赛抽取的型号配备</w:t>
            </w:r>
          </w:p>
          <w:p>
            <w:pPr>
              <w:spacing w:line="360" w:lineRule="auto"/>
              <w:rPr>
                <w:szCs w:val="21"/>
              </w:rPr>
            </w:pPr>
            <w:r>
              <w:rPr>
                <w:rFonts w:hint="eastAsia"/>
                <w:szCs w:val="21"/>
              </w:rPr>
              <w:t>（包括AB/CD/EF三种类型）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1778" w:type="dxa"/>
            <w:vAlign w:val="center"/>
          </w:tcPr>
          <w:p>
            <w:pPr>
              <w:spacing w:line="360" w:lineRule="auto"/>
              <w:rPr>
                <w:szCs w:val="21"/>
              </w:rPr>
            </w:pPr>
            <w:r>
              <w:rPr>
                <w:szCs w:val="21"/>
              </w:rPr>
              <w:t>传票用计算器</w:t>
            </w:r>
          </w:p>
        </w:tc>
        <w:tc>
          <w:tcPr>
            <w:tcW w:w="992" w:type="dxa"/>
            <w:vAlign w:val="center"/>
          </w:tcPr>
          <w:p>
            <w:pPr>
              <w:spacing w:line="360" w:lineRule="auto"/>
              <w:jc w:val="center"/>
              <w:rPr>
                <w:szCs w:val="21"/>
              </w:rPr>
            </w:pPr>
            <w:r>
              <w:rPr>
                <w:rFonts w:hint="eastAsia"/>
                <w:szCs w:val="21"/>
              </w:rPr>
              <w:t>30个</w:t>
            </w:r>
          </w:p>
        </w:tc>
        <w:tc>
          <w:tcPr>
            <w:tcW w:w="5122" w:type="dxa"/>
            <w:vAlign w:val="center"/>
          </w:tcPr>
          <w:p>
            <w:pPr>
              <w:spacing w:line="360" w:lineRule="auto"/>
              <w:rPr>
                <w:szCs w:val="21"/>
              </w:rPr>
            </w:pPr>
            <w:r>
              <w:rPr>
                <w:rFonts w:hint="eastAsia"/>
                <w:szCs w:val="21"/>
              </w:rPr>
              <w:t>夏普EL</w:t>
            </w:r>
            <w:r>
              <w:rPr>
                <w:szCs w:val="21"/>
              </w:rPr>
              <w:t>-</w:t>
            </w:r>
            <w:r>
              <w:rPr>
                <w:rFonts w:hint="eastAsia"/>
                <w:szCs w:val="21"/>
              </w:rPr>
              <w:t>2135</w:t>
            </w:r>
            <w:r>
              <w:rPr>
                <w:szCs w:val="21"/>
              </w:rPr>
              <w:t>计算器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1778" w:type="dxa"/>
            <w:vAlign w:val="center"/>
          </w:tcPr>
          <w:p>
            <w:pPr>
              <w:spacing w:line="360" w:lineRule="auto"/>
              <w:rPr>
                <w:szCs w:val="21"/>
              </w:rPr>
            </w:pPr>
            <w:r>
              <w:rPr>
                <w:rFonts w:hint="eastAsia"/>
                <w:szCs w:val="21"/>
              </w:rPr>
              <w:t>私人印章</w:t>
            </w:r>
          </w:p>
        </w:tc>
        <w:tc>
          <w:tcPr>
            <w:tcW w:w="992" w:type="dxa"/>
            <w:vAlign w:val="center"/>
          </w:tcPr>
          <w:p>
            <w:pPr>
              <w:spacing w:line="360" w:lineRule="auto"/>
              <w:jc w:val="center"/>
              <w:rPr>
                <w:szCs w:val="21"/>
              </w:rPr>
            </w:pPr>
            <w:r>
              <w:rPr>
                <w:rFonts w:hint="eastAsia"/>
                <w:szCs w:val="21"/>
              </w:rPr>
              <w:t>30个</w:t>
            </w:r>
          </w:p>
        </w:tc>
        <w:tc>
          <w:tcPr>
            <w:tcW w:w="5122" w:type="dxa"/>
            <w:vAlign w:val="center"/>
          </w:tcPr>
          <w:p>
            <w:pPr>
              <w:spacing w:line="360" w:lineRule="auto"/>
              <w:rPr>
                <w:szCs w:val="21"/>
              </w:rPr>
            </w:pPr>
            <w:r>
              <w:rPr>
                <w:rFonts w:hint="eastAsia"/>
                <w:szCs w:val="21"/>
              </w:rPr>
              <w:t>塑料弹簧章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1778" w:type="dxa"/>
            <w:vAlign w:val="center"/>
          </w:tcPr>
          <w:p>
            <w:pPr>
              <w:spacing w:line="360" w:lineRule="auto"/>
              <w:rPr>
                <w:szCs w:val="21"/>
              </w:rPr>
            </w:pPr>
            <w:r>
              <w:rPr>
                <w:rFonts w:hint="eastAsia"/>
                <w:szCs w:val="21"/>
              </w:rPr>
              <w:t>收纳筐</w:t>
            </w:r>
          </w:p>
        </w:tc>
        <w:tc>
          <w:tcPr>
            <w:tcW w:w="992" w:type="dxa"/>
            <w:vAlign w:val="center"/>
          </w:tcPr>
          <w:p>
            <w:pPr>
              <w:spacing w:line="360" w:lineRule="auto"/>
              <w:jc w:val="center"/>
              <w:rPr>
                <w:szCs w:val="21"/>
              </w:rPr>
            </w:pPr>
            <w:r>
              <w:rPr>
                <w:rFonts w:hint="eastAsia"/>
                <w:szCs w:val="21"/>
              </w:rPr>
              <w:t>30个</w:t>
            </w:r>
          </w:p>
        </w:tc>
        <w:tc>
          <w:tcPr>
            <w:tcW w:w="5122" w:type="dxa"/>
            <w:vAlign w:val="center"/>
          </w:tcPr>
          <w:p>
            <w:pPr>
              <w:spacing w:line="360" w:lineRule="auto"/>
              <w:rPr>
                <w:szCs w:val="21"/>
              </w:rPr>
            </w:pPr>
            <w:r>
              <w:rPr>
                <w:rFonts w:hint="eastAsia"/>
                <w:szCs w:val="21"/>
              </w:rPr>
              <w:t>塑料收纳筐</w:t>
            </w:r>
          </w:p>
        </w:tc>
      </w:tr>
    </w:tbl>
    <w:p>
      <w:pPr>
        <w:snapToGrid w:val="0"/>
        <w:spacing w:line="360" w:lineRule="auto"/>
        <w:ind w:firstLine="480" w:firstLineChars="200"/>
        <w:rPr>
          <w:rFonts w:ascii="仿宋" w:hAnsi="仿宋" w:eastAsia="仿宋"/>
          <w:sz w:val="24"/>
        </w:rPr>
      </w:pPr>
    </w:p>
    <w:p>
      <w:pPr>
        <w:snapToGrid w:val="0"/>
        <w:spacing w:line="360" w:lineRule="auto"/>
        <w:ind w:firstLine="480" w:firstLineChars="200"/>
        <w:rPr>
          <w:rFonts w:ascii="仿宋" w:hAnsi="仿宋" w:eastAsia="仿宋"/>
          <w:sz w:val="24"/>
        </w:rPr>
      </w:pPr>
      <w:r>
        <w:rPr>
          <w:rFonts w:ascii="仿宋" w:hAnsi="仿宋" w:eastAsia="仿宋"/>
          <w:sz w:val="24"/>
        </w:rPr>
        <w:t>注：手工点钞用具及印章、传票</w:t>
      </w:r>
      <w:r>
        <w:rPr>
          <w:rFonts w:hint="eastAsia" w:ascii="仿宋" w:hAnsi="仿宋" w:eastAsia="仿宋"/>
          <w:sz w:val="24"/>
        </w:rPr>
        <w:t>、</w:t>
      </w:r>
      <w:r>
        <w:rPr>
          <w:rFonts w:ascii="仿宋" w:hAnsi="仿宋" w:eastAsia="仿宋"/>
          <w:sz w:val="24"/>
        </w:rPr>
        <w:t>传票用</w:t>
      </w:r>
      <w:r>
        <w:rPr>
          <w:rFonts w:hint="eastAsia" w:ascii="仿宋" w:hAnsi="仿宋" w:eastAsia="仿宋"/>
          <w:sz w:val="24"/>
        </w:rPr>
        <w:t>夏普EL</w:t>
      </w:r>
      <w:r>
        <w:rPr>
          <w:rFonts w:ascii="仿宋" w:hAnsi="仿宋" w:eastAsia="仿宋"/>
          <w:sz w:val="24"/>
        </w:rPr>
        <w:t>-</w:t>
      </w:r>
      <w:r>
        <w:rPr>
          <w:rFonts w:hint="eastAsia" w:ascii="仿宋" w:hAnsi="仿宋" w:eastAsia="仿宋"/>
          <w:sz w:val="24"/>
        </w:rPr>
        <w:t>2135</w:t>
      </w:r>
      <w:r>
        <w:rPr>
          <w:rFonts w:ascii="仿宋" w:hAnsi="仿宋" w:eastAsia="仿宋"/>
          <w:sz w:val="24"/>
        </w:rPr>
        <w:t>计算器由承办校统一提供。</w:t>
      </w:r>
    </w:p>
    <w:p>
      <w:pPr>
        <w:snapToGrid w:val="0"/>
        <w:spacing w:line="360" w:lineRule="auto"/>
        <w:ind w:firstLine="482" w:firstLineChars="200"/>
        <w:rPr>
          <w:rFonts w:ascii="仿宋" w:hAnsi="仿宋" w:eastAsia="仿宋"/>
          <w:sz w:val="24"/>
        </w:rPr>
      </w:pPr>
      <w:r>
        <w:rPr>
          <w:rFonts w:ascii="仿宋" w:hAnsi="仿宋" w:eastAsia="仿宋"/>
          <w:b/>
          <w:sz w:val="24"/>
        </w:rPr>
        <w:t>（二）竞赛平台</w:t>
      </w:r>
    </w:p>
    <w:p>
      <w:pPr>
        <w:snapToGrid w:val="0"/>
        <w:spacing w:line="360" w:lineRule="auto"/>
        <w:ind w:firstLine="480" w:firstLineChars="200"/>
        <w:rPr>
          <w:rFonts w:ascii="仿宋" w:hAnsi="仿宋" w:eastAsia="仿宋"/>
          <w:sz w:val="24"/>
        </w:rPr>
      </w:pPr>
      <w:r>
        <w:rPr>
          <w:rFonts w:hint="eastAsia" w:ascii="仿宋" w:hAnsi="仿宋" w:eastAsia="仿宋"/>
          <w:sz w:val="24"/>
        </w:rPr>
        <w:t>采用“银行业务综合技能竞赛平台软件V2.0”进行技能竞赛，包括“银行从业知识”竞赛、“银行基本技能”竞赛、“银行业务能力”竞赛、赛题模块、评分模块、成绩汇总打印模块等。其中“银行基本技能”竞赛模块分为“传票算”竞赛、“字符录入”竞赛、“手工点钞”竞赛、“货币防伪与鉴别”竞赛，“银行业务能力”竞赛分为“银行综合业务”、“金融营销技能”、“票据业务处理”等。</w:t>
      </w:r>
    </w:p>
    <w:p>
      <w:pPr>
        <w:snapToGrid w:val="0"/>
        <w:spacing w:line="360" w:lineRule="auto"/>
        <w:rPr>
          <w:rFonts w:ascii="仿宋" w:hAnsi="仿宋" w:eastAsia="仿宋"/>
          <w:sz w:val="24"/>
        </w:rPr>
      </w:pPr>
      <w:r>
        <w:rPr>
          <w:rFonts w:ascii="仿宋" w:hAnsi="仿宋" w:eastAsia="仿宋"/>
          <w:sz w:val="24"/>
        </w:rPr>
        <w:t>（注：因国赛规程未</w:t>
      </w:r>
      <w:r>
        <w:rPr>
          <w:rFonts w:hint="eastAsia" w:ascii="仿宋" w:hAnsi="仿宋" w:eastAsia="仿宋"/>
          <w:sz w:val="24"/>
        </w:rPr>
        <w:t>正式</w:t>
      </w:r>
      <w:r>
        <w:rPr>
          <w:rFonts w:ascii="仿宋" w:hAnsi="仿宋" w:eastAsia="仿宋"/>
          <w:sz w:val="24"/>
        </w:rPr>
        <w:t>公布，界时平台如有变化，待省赛后入围国赛的队伍再按国赛平台训练）</w:t>
      </w:r>
    </w:p>
    <w:p>
      <w:pPr>
        <w:snapToGrid w:val="0"/>
        <w:spacing w:line="360" w:lineRule="auto"/>
        <w:ind w:firstLine="480" w:firstLineChars="200"/>
        <w:rPr>
          <w:rFonts w:ascii="仿宋" w:hAnsi="仿宋" w:eastAsia="仿宋"/>
          <w:sz w:val="24"/>
        </w:rPr>
      </w:pPr>
      <w:r>
        <w:rPr>
          <w:rFonts w:ascii="仿宋" w:hAnsi="仿宋" w:eastAsia="仿宋"/>
          <w:sz w:val="24"/>
        </w:rPr>
        <w:t>（三）其他设备</w:t>
      </w:r>
    </w:p>
    <w:p>
      <w:pPr>
        <w:snapToGrid w:val="0"/>
        <w:spacing w:line="360" w:lineRule="auto"/>
        <w:ind w:firstLine="480" w:firstLineChars="200"/>
        <w:rPr>
          <w:rFonts w:ascii="仿宋" w:hAnsi="仿宋" w:eastAsia="仿宋"/>
          <w:sz w:val="24"/>
        </w:rPr>
      </w:pPr>
      <w:r>
        <w:rPr>
          <w:rFonts w:ascii="仿宋" w:hAnsi="仿宋" w:eastAsia="仿宋"/>
          <w:sz w:val="24"/>
        </w:rPr>
        <w:t>赛场配置服务器及网络设备为赛项提供网络平台技术支持。</w:t>
      </w:r>
    </w:p>
    <w:p>
      <w:pPr>
        <w:spacing w:line="360" w:lineRule="auto"/>
        <w:ind w:firstLine="551" w:firstLineChars="196"/>
        <w:rPr>
          <w:rFonts w:ascii="仿宋" w:hAnsi="仿宋" w:eastAsia="仿宋"/>
          <w:sz w:val="24"/>
        </w:rPr>
      </w:pPr>
      <w:r>
        <w:rPr>
          <w:rFonts w:ascii="仿宋" w:hAnsi="仿宋" w:eastAsia="仿宋"/>
          <w:b/>
          <w:sz w:val="28"/>
          <w:szCs w:val="28"/>
        </w:rPr>
        <w:t>十、成绩评定</w:t>
      </w:r>
    </w:p>
    <w:p>
      <w:pPr>
        <w:spacing w:line="360" w:lineRule="auto"/>
        <w:ind w:firstLine="480" w:firstLineChars="200"/>
        <w:rPr>
          <w:rFonts w:ascii="仿宋" w:hAnsi="仿宋" w:eastAsia="仿宋"/>
          <w:sz w:val="24"/>
        </w:rPr>
      </w:pPr>
      <w:r>
        <w:rPr>
          <w:rFonts w:hint="eastAsia" w:ascii="仿宋" w:hAnsi="仿宋" w:eastAsia="仿宋"/>
          <w:sz w:val="24"/>
        </w:rPr>
        <w:t>1.“银行从业知识”竞赛成绩评定由“银行业务综合技能竞赛平台软件V2.0”自动评分。</w:t>
      </w:r>
    </w:p>
    <w:p>
      <w:pPr>
        <w:snapToGrid w:val="0"/>
        <w:spacing w:line="360" w:lineRule="auto"/>
        <w:ind w:firstLine="480" w:firstLineChars="200"/>
        <w:rPr>
          <w:rFonts w:ascii="仿宋" w:hAnsi="仿宋" w:eastAsia="仿宋"/>
          <w:sz w:val="24"/>
        </w:rPr>
      </w:pPr>
      <w:r>
        <w:rPr>
          <w:rFonts w:hint="eastAsia" w:ascii="仿宋" w:hAnsi="仿宋" w:eastAsia="仿宋"/>
          <w:sz w:val="24"/>
        </w:rPr>
        <w:t>2.“银行基本技能”竞赛成绩评定由“银行业务综合技能竞赛平台软件V2.0”自动评分与裁判人工评分两部分组成。</w:t>
      </w:r>
    </w:p>
    <w:p>
      <w:pPr>
        <w:snapToGrid w:val="0"/>
        <w:spacing w:line="360" w:lineRule="auto"/>
        <w:ind w:firstLine="480" w:firstLineChars="200"/>
        <w:rPr>
          <w:rFonts w:ascii="仿宋" w:hAnsi="仿宋" w:eastAsia="仿宋"/>
          <w:sz w:val="24"/>
        </w:rPr>
      </w:pPr>
      <w:r>
        <w:rPr>
          <w:rFonts w:hint="eastAsia" w:ascii="仿宋" w:hAnsi="仿宋" w:eastAsia="仿宋"/>
          <w:sz w:val="24"/>
        </w:rPr>
        <w:t>3.“银行业务能力”竞赛成绩评定由“银行业务综合技能竞赛平台软件V2.0”自动评分。</w:t>
      </w:r>
    </w:p>
    <w:p>
      <w:pPr>
        <w:snapToGrid w:val="0"/>
        <w:spacing w:line="360" w:lineRule="auto"/>
        <w:ind w:firstLine="480" w:firstLineChars="200"/>
        <w:rPr>
          <w:rFonts w:ascii="仿宋" w:hAnsi="仿宋" w:eastAsia="仿宋"/>
          <w:sz w:val="24"/>
        </w:rPr>
      </w:pPr>
      <w:r>
        <w:rPr>
          <w:rFonts w:hint="eastAsia" w:ascii="仿宋" w:hAnsi="仿宋" w:eastAsia="仿宋"/>
          <w:sz w:val="24"/>
        </w:rPr>
        <w:t>4..团体总成绩由1、2、3项目竞赛得分相加构成。</w:t>
      </w:r>
      <w:r>
        <w:rPr>
          <w:rFonts w:ascii="仿宋" w:hAnsi="仿宋" w:eastAsia="仿宋"/>
          <w:sz w:val="24"/>
        </w:rPr>
        <w:t>（团体总分</w:t>
      </w:r>
      <w:r>
        <w:rPr>
          <w:rFonts w:hint="eastAsia" w:ascii="仿宋" w:hAnsi="仿宋" w:eastAsia="仿宋"/>
          <w:sz w:val="24"/>
        </w:rPr>
        <w:t>=</w:t>
      </w:r>
      <w:r>
        <w:rPr>
          <w:rFonts w:ascii="仿宋" w:hAnsi="仿宋" w:eastAsia="仿宋"/>
          <w:sz w:val="24"/>
        </w:rPr>
        <w:t>各团队三个比赛内容总成绩之和，四舍五入保留两位小数。若团体总分相同，则查看权重高的比赛内容的得分情况，以高分者排名在前）。</w:t>
      </w:r>
    </w:p>
    <w:p>
      <w:pPr>
        <w:spacing w:line="360" w:lineRule="auto"/>
        <w:ind w:firstLine="551" w:firstLineChars="196"/>
        <w:rPr>
          <w:rFonts w:ascii="仿宋" w:hAnsi="仿宋" w:eastAsia="仿宋"/>
          <w:b/>
          <w:sz w:val="28"/>
          <w:szCs w:val="28"/>
        </w:rPr>
      </w:pPr>
      <w:r>
        <w:rPr>
          <w:rFonts w:ascii="仿宋" w:hAnsi="仿宋" w:eastAsia="仿宋"/>
          <w:b/>
          <w:sz w:val="28"/>
          <w:szCs w:val="28"/>
        </w:rPr>
        <w:t>十一、奖项设置</w:t>
      </w:r>
    </w:p>
    <w:p>
      <w:pPr>
        <w:spacing w:line="360" w:lineRule="auto"/>
        <w:ind w:firstLine="480" w:firstLineChars="200"/>
        <w:rPr>
          <w:rFonts w:ascii="仿宋" w:hAnsi="仿宋" w:eastAsia="仿宋"/>
          <w:sz w:val="24"/>
        </w:rPr>
      </w:pPr>
      <w:r>
        <w:rPr>
          <w:rFonts w:ascii="仿宋" w:hAnsi="仿宋" w:eastAsia="仿宋"/>
          <w:sz w:val="24"/>
        </w:rPr>
        <w:t>（一）本赛项只设参赛团体奖。</w:t>
      </w:r>
    </w:p>
    <w:p>
      <w:pPr>
        <w:spacing w:line="360" w:lineRule="auto"/>
        <w:ind w:firstLine="480" w:firstLineChars="200"/>
        <w:rPr>
          <w:rFonts w:ascii="仿宋" w:hAnsi="仿宋" w:eastAsia="仿宋"/>
          <w:sz w:val="24"/>
        </w:rPr>
      </w:pPr>
      <w:r>
        <w:rPr>
          <w:rFonts w:ascii="仿宋" w:hAnsi="仿宋" w:eastAsia="仿宋"/>
          <w:sz w:val="24"/>
        </w:rPr>
        <w:t>（二）按团体设一、二、三等奖，其中一等奖为参赛队总数的 10%，二等奖为参赛队总数的 20%，三等奖为参赛队总数的 30%（小数点后四舍五入）。</w:t>
      </w:r>
    </w:p>
    <w:p>
      <w:pPr>
        <w:spacing w:line="360" w:lineRule="auto"/>
        <w:ind w:firstLine="480" w:firstLineChars="200"/>
        <w:rPr>
          <w:rFonts w:ascii="仿宋" w:hAnsi="仿宋" w:eastAsia="仿宋"/>
          <w:sz w:val="24"/>
        </w:rPr>
      </w:pPr>
      <w:r>
        <w:rPr>
          <w:rFonts w:ascii="仿宋" w:hAnsi="仿宋" w:eastAsia="仿宋"/>
          <w:sz w:val="24"/>
        </w:rPr>
        <w:t>（三）获得团体一等奖的参赛队指导老师获得“优秀指导老师奖”。</w:t>
      </w:r>
    </w:p>
    <w:p>
      <w:pPr>
        <w:spacing w:line="360" w:lineRule="auto"/>
        <w:ind w:firstLine="551" w:firstLineChars="196"/>
        <w:rPr>
          <w:rFonts w:ascii="仿宋" w:hAnsi="仿宋" w:eastAsia="仿宋"/>
          <w:sz w:val="24"/>
        </w:rPr>
      </w:pPr>
      <w:r>
        <w:rPr>
          <w:rFonts w:ascii="仿宋" w:hAnsi="仿宋" w:eastAsia="仿宋"/>
          <w:b/>
          <w:sz w:val="28"/>
          <w:szCs w:val="28"/>
        </w:rPr>
        <w:t>十二、申诉与仲裁</w:t>
      </w:r>
    </w:p>
    <w:p>
      <w:pPr>
        <w:spacing w:line="360" w:lineRule="auto"/>
        <w:ind w:firstLine="480" w:firstLineChars="200"/>
        <w:rPr>
          <w:rFonts w:ascii="仿宋" w:hAnsi="仿宋" w:eastAsia="仿宋"/>
          <w:sz w:val="24"/>
        </w:rPr>
      </w:pPr>
      <w:r>
        <w:rPr>
          <w:rFonts w:ascii="仿宋" w:hAnsi="仿宋" w:eastAsia="仿宋"/>
          <w:sz w:val="24"/>
        </w:rPr>
        <w:t>1.福建省职业院校技能大赛设仲裁工作委员会，赛点设仲裁工作组,组长由大赛组委会办公室指派，组员为赛项裁判长和赛点执委会主任。</w:t>
      </w:r>
    </w:p>
    <w:p>
      <w:pPr>
        <w:spacing w:line="360" w:lineRule="auto"/>
        <w:ind w:firstLine="480" w:firstLineChars="200"/>
        <w:rPr>
          <w:rFonts w:ascii="仿宋" w:hAnsi="仿宋" w:eastAsia="仿宋"/>
          <w:sz w:val="24"/>
        </w:rPr>
      </w:pPr>
      <w:r>
        <w:rPr>
          <w:rFonts w:ascii="仿宋" w:hAnsi="仿宋" w:eastAsia="仿宋"/>
          <w:sz w:val="24"/>
        </w:rPr>
        <w:t>2.参赛队对赛事过程、工作人员工作若有疑异,在事实清楚,证据充分的前提下可由参赛队领队以书面形式向赛点仲裁组提出申诉。报告应对申诉事件的现象、发生时间、涉及人员、申诉依据等进行充分、实事求是的叙述。非书面申诉不予受理。</w:t>
      </w:r>
    </w:p>
    <w:p>
      <w:pPr>
        <w:spacing w:line="360" w:lineRule="auto"/>
        <w:ind w:firstLine="480" w:firstLineChars="200"/>
        <w:rPr>
          <w:rFonts w:ascii="仿宋" w:hAnsi="仿宋" w:eastAsia="仿宋"/>
          <w:sz w:val="24"/>
        </w:rPr>
      </w:pPr>
      <w:r>
        <w:rPr>
          <w:rFonts w:ascii="仿宋" w:hAnsi="仿宋" w:eastAsia="仿宋"/>
          <w:sz w:val="24"/>
        </w:rPr>
        <w:t>3.提出申诉应在赛项比赛结束后</w:t>
      </w:r>
      <w:r>
        <w:rPr>
          <w:rFonts w:hint="eastAsia" w:ascii="仿宋" w:hAnsi="仿宋" w:eastAsia="仿宋"/>
          <w:sz w:val="24"/>
        </w:rPr>
        <w:t>1</w:t>
      </w:r>
      <w:r>
        <w:rPr>
          <w:rFonts w:ascii="仿宋" w:hAnsi="仿宋" w:eastAsia="仿宋"/>
          <w:sz w:val="24"/>
        </w:rPr>
        <w:t>小时内向赛点仲裁组提出</w:t>
      </w:r>
      <w:r>
        <w:rPr>
          <w:rFonts w:hint="eastAsia" w:ascii="仿宋" w:hAnsi="仿宋" w:eastAsia="仿宋"/>
          <w:sz w:val="24"/>
        </w:rPr>
        <w:t>。</w:t>
      </w:r>
      <w:r>
        <w:rPr>
          <w:rFonts w:ascii="仿宋" w:hAnsi="仿宋" w:eastAsia="仿宋"/>
          <w:sz w:val="24"/>
        </w:rPr>
        <w:t>超过时效不予受理。提出申诉后申诉人及相关涉及人员不得离开赛点，否则视为自行放弃申诉。</w:t>
      </w:r>
    </w:p>
    <w:p>
      <w:pPr>
        <w:spacing w:line="360" w:lineRule="auto"/>
        <w:rPr>
          <w:rFonts w:ascii="仿宋" w:hAnsi="仿宋" w:eastAsia="仿宋"/>
          <w:sz w:val="24"/>
        </w:rPr>
      </w:pPr>
      <w:r>
        <w:rPr>
          <w:rFonts w:hint="eastAsia" w:ascii="仿宋" w:hAnsi="仿宋" w:eastAsia="仿宋"/>
          <w:sz w:val="24"/>
        </w:rPr>
        <w:t>　　</w:t>
      </w:r>
      <w:r>
        <w:rPr>
          <w:rFonts w:ascii="仿宋" w:hAnsi="仿宋" w:eastAsia="仿宋"/>
          <w:sz w:val="24"/>
        </w:rPr>
        <w:t>4.赛点仲裁工作组在接到申诉报告后的</w:t>
      </w:r>
      <w:r>
        <w:rPr>
          <w:rFonts w:hint="eastAsia" w:ascii="仿宋" w:hAnsi="仿宋" w:eastAsia="仿宋"/>
          <w:sz w:val="24"/>
        </w:rPr>
        <w:t>２</w:t>
      </w:r>
      <w:r>
        <w:rPr>
          <w:rFonts w:ascii="仿宋" w:hAnsi="仿宋" w:eastAsia="仿宋"/>
          <w:sz w:val="24"/>
        </w:rPr>
        <w:t>小时内组织复议，并及时将复议结果以书面形式告知申诉方。</w:t>
      </w:r>
    </w:p>
    <w:p>
      <w:pPr>
        <w:spacing w:line="360" w:lineRule="auto"/>
        <w:rPr>
          <w:rFonts w:ascii="仿宋" w:hAnsi="仿宋" w:eastAsia="仿宋"/>
          <w:sz w:val="24"/>
        </w:rPr>
      </w:pPr>
      <w:r>
        <w:rPr>
          <w:rFonts w:hint="eastAsia" w:ascii="仿宋" w:hAnsi="仿宋" w:eastAsia="仿宋"/>
          <w:sz w:val="24"/>
        </w:rPr>
        <w:t>　　</w:t>
      </w:r>
      <w:r>
        <w:rPr>
          <w:rFonts w:ascii="仿宋" w:hAnsi="仿宋" w:eastAsia="仿宋"/>
          <w:sz w:val="24"/>
        </w:rPr>
        <w:t>5.对赛点仲裁组复议结果不服的，可由代表队所在院校校级领导向大赛仲裁委员会提出申诉。大赛仲裁委员会的仲裁结果为最终结果。</w:t>
      </w:r>
    </w:p>
    <w:p>
      <w:pPr>
        <w:spacing w:line="360" w:lineRule="auto"/>
        <w:rPr>
          <w:rFonts w:ascii="仿宋" w:hAnsi="仿宋" w:eastAsia="仿宋"/>
          <w:sz w:val="24"/>
        </w:rPr>
      </w:pPr>
      <w:r>
        <w:rPr>
          <w:rFonts w:hint="eastAsia" w:ascii="仿宋" w:hAnsi="仿宋" w:eastAsia="仿宋"/>
          <w:sz w:val="24"/>
        </w:rPr>
        <w:t>　　</w:t>
      </w:r>
      <w:r>
        <w:rPr>
          <w:rFonts w:ascii="仿宋" w:hAnsi="仿宋" w:eastAsia="仿宋"/>
          <w:sz w:val="24"/>
        </w:rPr>
        <w:t>6.申诉方不得以任何理由拒绝接收仲裁结果；不得以任何理由采取过激行为扰乱赛场秩序；仲裁结果由申诉人签收，不能代收；如在约定时间和地点申诉人离开，视为撤诉。</w:t>
      </w:r>
    </w:p>
    <w:p>
      <w:pPr>
        <w:spacing w:line="360" w:lineRule="auto"/>
        <w:rPr>
          <w:rFonts w:ascii="仿宋" w:hAnsi="仿宋" w:eastAsia="仿宋"/>
          <w:sz w:val="24"/>
        </w:rPr>
      </w:pPr>
      <w:r>
        <w:rPr>
          <w:rFonts w:hint="eastAsia" w:ascii="仿宋" w:hAnsi="仿宋" w:eastAsia="仿宋"/>
          <w:sz w:val="24"/>
        </w:rPr>
        <w:t>　　</w:t>
      </w:r>
      <w:r>
        <w:rPr>
          <w:rFonts w:ascii="仿宋" w:hAnsi="仿宋" w:eastAsia="仿宋"/>
          <w:sz w:val="24"/>
        </w:rPr>
        <w:t>7.申诉方可随时提出放弃申诉。</w:t>
      </w:r>
    </w:p>
    <w:p>
      <w:pPr>
        <w:spacing w:line="360" w:lineRule="auto"/>
        <w:rPr>
          <w:rFonts w:ascii="仿宋" w:hAnsi="仿宋" w:eastAsia="仿宋"/>
          <w:b/>
          <w:sz w:val="28"/>
          <w:szCs w:val="28"/>
        </w:rPr>
      </w:pPr>
      <w:r>
        <w:rPr>
          <w:rFonts w:hint="eastAsia" w:ascii="仿宋" w:hAnsi="仿宋" w:eastAsia="仿宋"/>
          <w:sz w:val="24"/>
        </w:rPr>
        <w:t>　　</w:t>
      </w:r>
      <w:r>
        <w:rPr>
          <w:rFonts w:ascii="仿宋" w:hAnsi="仿宋" w:eastAsia="仿宋"/>
          <w:b/>
          <w:sz w:val="28"/>
          <w:szCs w:val="28"/>
        </w:rPr>
        <w:t>十三、竞赛观摩</w:t>
      </w:r>
    </w:p>
    <w:p>
      <w:pPr>
        <w:spacing w:line="360" w:lineRule="auto"/>
        <w:ind w:firstLine="470" w:firstLineChars="196"/>
        <w:rPr>
          <w:rFonts w:ascii="仿宋" w:hAnsi="仿宋" w:eastAsia="仿宋"/>
          <w:b/>
          <w:sz w:val="28"/>
          <w:szCs w:val="28"/>
        </w:rPr>
      </w:pPr>
      <w:r>
        <w:rPr>
          <w:rFonts w:ascii="仿宋" w:hAnsi="仿宋" w:eastAsia="仿宋"/>
          <w:sz w:val="24"/>
        </w:rPr>
        <w:t>本赛项观摩对象为：参赛队领队、指导教师及随队工作人员、媒体工作人员、企业人员等。观摩人员必须到指定的观摩室进行观摩，并遵守现场秩序和现场工作人员的统一安排。</w:t>
      </w:r>
    </w:p>
    <w:p>
      <w:pPr>
        <w:spacing w:line="360" w:lineRule="auto"/>
        <w:ind w:firstLine="555"/>
        <w:rPr>
          <w:rFonts w:ascii="仿宋" w:hAnsi="仿宋" w:eastAsia="仿宋"/>
          <w:b/>
          <w:sz w:val="28"/>
          <w:szCs w:val="28"/>
        </w:rPr>
      </w:pPr>
      <w:r>
        <w:rPr>
          <w:rFonts w:ascii="仿宋" w:hAnsi="仿宋" w:eastAsia="仿宋"/>
          <w:b/>
          <w:sz w:val="28"/>
          <w:szCs w:val="28"/>
        </w:rPr>
        <w:t>十四、资源转化</w:t>
      </w:r>
    </w:p>
    <w:p>
      <w:pPr>
        <w:spacing w:line="360" w:lineRule="auto"/>
        <w:ind w:firstLine="555"/>
        <w:rPr>
          <w:rFonts w:ascii="仿宋" w:hAnsi="仿宋" w:eastAsia="仿宋"/>
          <w:sz w:val="24"/>
        </w:rPr>
      </w:pPr>
      <w:r>
        <w:rPr>
          <w:rFonts w:ascii="仿宋" w:hAnsi="仿宋" w:eastAsia="仿宋"/>
          <w:sz w:val="24"/>
        </w:rPr>
        <w:t>（一）竞赛方式转化为专业实践教学体系</w:t>
      </w:r>
    </w:p>
    <w:p>
      <w:pPr>
        <w:spacing w:line="360" w:lineRule="auto"/>
        <w:ind w:firstLine="555"/>
        <w:rPr>
          <w:rFonts w:ascii="仿宋" w:hAnsi="仿宋" w:eastAsia="仿宋"/>
          <w:sz w:val="24"/>
        </w:rPr>
      </w:pPr>
      <w:r>
        <w:rPr>
          <w:rFonts w:ascii="仿宋" w:hAnsi="仿宋" w:eastAsia="仿宋"/>
          <w:sz w:val="24"/>
        </w:rPr>
        <w:t>本赛项采用“手工与银行柜面业务信息化”、“个人和团体”相结合的方式，竞赛方式的安排对应相关职业岗位或岗位群，体现专业核心能力与核心知识，涵盖丰富的专业知识与专业技能点。因此，赛项的组织方式可以转化为金融专业人才培养实践教学框架方案。</w:t>
      </w:r>
    </w:p>
    <w:p>
      <w:pPr>
        <w:spacing w:line="360" w:lineRule="auto"/>
        <w:ind w:firstLine="555"/>
        <w:rPr>
          <w:rFonts w:ascii="仿宋" w:hAnsi="仿宋" w:eastAsia="仿宋"/>
          <w:sz w:val="24"/>
        </w:rPr>
      </w:pPr>
      <w:r>
        <w:rPr>
          <w:rFonts w:ascii="仿宋" w:hAnsi="仿宋" w:eastAsia="仿宋"/>
          <w:sz w:val="24"/>
        </w:rPr>
        <w:t>（二）竞赛任务转化为教学内容</w:t>
      </w:r>
    </w:p>
    <w:p>
      <w:pPr>
        <w:spacing w:line="360" w:lineRule="auto"/>
        <w:ind w:firstLine="480" w:firstLineChars="200"/>
        <w:rPr>
          <w:rFonts w:ascii="仿宋" w:hAnsi="仿宋" w:eastAsia="仿宋"/>
          <w:sz w:val="24"/>
        </w:rPr>
      </w:pPr>
      <w:r>
        <w:rPr>
          <w:rFonts w:ascii="仿宋" w:hAnsi="仿宋" w:eastAsia="仿宋"/>
          <w:sz w:val="24"/>
        </w:rPr>
        <w:t>赛项所形成的“银行</w:t>
      </w:r>
      <w:r>
        <w:rPr>
          <w:rFonts w:hint="eastAsia" w:ascii="仿宋" w:hAnsi="仿宋" w:eastAsia="仿宋"/>
          <w:sz w:val="24"/>
        </w:rPr>
        <w:t>从业</w:t>
      </w:r>
      <w:r>
        <w:rPr>
          <w:rFonts w:ascii="仿宋" w:hAnsi="仿宋" w:eastAsia="仿宋"/>
          <w:sz w:val="24"/>
        </w:rPr>
        <w:t>知识”赛题和“银行业务</w:t>
      </w:r>
      <w:r>
        <w:rPr>
          <w:rFonts w:hint="eastAsia" w:ascii="仿宋" w:hAnsi="仿宋" w:eastAsia="仿宋"/>
          <w:sz w:val="24"/>
        </w:rPr>
        <w:t>能力</w:t>
      </w:r>
      <w:r>
        <w:rPr>
          <w:rFonts w:ascii="仿宋" w:hAnsi="仿宋" w:eastAsia="仿宋"/>
          <w:sz w:val="24"/>
        </w:rPr>
        <w:t>”赛题是根据高职金融人才培养目标，将竞赛赛题及竞赛规程、相关银行业务技能训练方法编入“商业银行综合业务”教材，实现竞赛任务到教学内容的转化。</w:t>
      </w:r>
    </w:p>
    <w:p>
      <w:pPr>
        <w:spacing w:line="360" w:lineRule="auto"/>
        <w:ind w:firstLine="480" w:firstLineChars="200"/>
        <w:rPr>
          <w:rFonts w:ascii="仿宋" w:hAnsi="仿宋" w:eastAsia="仿宋"/>
          <w:sz w:val="24"/>
        </w:rPr>
      </w:pPr>
      <w:r>
        <w:rPr>
          <w:rFonts w:ascii="仿宋" w:hAnsi="仿宋" w:eastAsia="仿宋"/>
          <w:sz w:val="24"/>
        </w:rPr>
        <w:t>（三）竞赛资料转化为教学资源</w:t>
      </w:r>
    </w:p>
    <w:p>
      <w:pPr>
        <w:spacing w:line="360" w:lineRule="auto"/>
        <w:ind w:firstLine="480" w:firstLineChars="200"/>
        <w:rPr>
          <w:rFonts w:ascii="仿宋" w:hAnsi="仿宋" w:eastAsia="仿宋"/>
          <w:sz w:val="24"/>
        </w:rPr>
      </w:pPr>
      <w:r>
        <w:rPr>
          <w:rFonts w:ascii="仿宋" w:hAnsi="仿宋" w:eastAsia="仿宋"/>
          <w:sz w:val="24"/>
        </w:rPr>
        <w:t>本次竞赛以银行实际业务方式进行数据采集和分析，形成了</w:t>
      </w:r>
      <w:r>
        <w:rPr>
          <w:rFonts w:hint="eastAsia" w:ascii="仿宋" w:hAnsi="仿宋" w:eastAsia="仿宋"/>
          <w:sz w:val="24"/>
        </w:rPr>
        <w:t>一</w:t>
      </w:r>
      <w:r>
        <w:rPr>
          <w:rFonts w:ascii="仿宋" w:hAnsi="仿宋" w:eastAsia="仿宋"/>
          <w:sz w:val="24"/>
        </w:rPr>
        <w:t>套较为规范完整和真实的业务数据，这对于金融专业实践教学具有较好的引领作用，实现竞赛资料转化为教学资源。</w:t>
      </w:r>
    </w:p>
    <w:p>
      <w:pPr>
        <w:spacing w:line="360" w:lineRule="auto"/>
        <w:ind w:firstLine="480" w:firstLineChars="200"/>
        <w:rPr>
          <w:rFonts w:ascii="仿宋" w:hAnsi="仿宋" w:eastAsia="仿宋"/>
          <w:sz w:val="24"/>
        </w:rPr>
      </w:pPr>
      <w:r>
        <w:rPr>
          <w:rFonts w:ascii="仿宋" w:hAnsi="仿宋" w:eastAsia="仿宋"/>
          <w:sz w:val="24"/>
        </w:rPr>
        <w:t>（四）竞赛软件转化为教学软件</w:t>
      </w:r>
    </w:p>
    <w:p>
      <w:pPr>
        <w:spacing w:line="360" w:lineRule="auto"/>
        <w:ind w:firstLine="480" w:firstLineChars="200"/>
        <w:rPr>
          <w:rFonts w:ascii="仿宋" w:hAnsi="仿宋" w:eastAsia="仿宋"/>
          <w:sz w:val="24"/>
        </w:rPr>
      </w:pPr>
      <w:r>
        <w:rPr>
          <w:rFonts w:ascii="仿宋" w:hAnsi="仿宋" w:eastAsia="仿宋"/>
          <w:sz w:val="24"/>
        </w:rPr>
        <w:t>将竞赛样题和竞赛平台有机结合，形成银行实训教学软件，实现竞赛软件到教学软件的转化。</w:t>
      </w:r>
    </w:p>
    <w:p>
      <w:pPr>
        <w:spacing w:line="360" w:lineRule="auto"/>
        <w:ind w:firstLine="551" w:firstLineChars="196"/>
        <w:rPr>
          <w:rFonts w:ascii="仿宋" w:hAnsi="仿宋" w:eastAsia="仿宋"/>
          <w:b/>
          <w:sz w:val="28"/>
          <w:szCs w:val="28"/>
        </w:rPr>
      </w:pPr>
      <w:r>
        <w:rPr>
          <w:rFonts w:ascii="仿宋" w:hAnsi="仿宋" w:eastAsia="仿宋"/>
          <w:b/>
          <w:sz w:val="28"/>
          <w:szCs w:val="28"/>
        </w:rPr>
        <w:t>十五、其他</w:t>
      </w:r>
    </w:p>
    <w:p>
      <w:pPr>
        <w:spacing w:line="360" w:lineRule="auto"/>
        <w:ind w:firstLine="472" w:firstLineChars="196"/>
        <w:rPr>
          <w:rFonts w:ascii="仿宋" w:hAnsi="仿宋" w:eastAsia="仿宋"/>
          <w:sz w:val="24"/>
        </w:rPr>
      </w:pPr>
      <w:r>
        <w:rPr>
          <w:rFonts w:ascii="仿宋" w:hAnsi="仿宋" w:eastAsia="仿宋"/>
          <w:b/>
          <w:sz w:val="24"/>
        </w:rPr>
        <w:t>（一）参赛队须知</w:t>
      </w:r>
    </w:p>
    <w:p>
      <w:pPr>
        <w:spacing w:line="360" w:lineRule="auto"/>
        <w:ind w:firstLine="480" w:firstLineChars="200"/>
        <w:rPr>
          <w:rFonts w:ascii="仿宋" w:hAnsi="仿宋" w:eastAsia="仿宋"/>
          <w:sz w:val="24"/>
        </w:rPr>
      </w:pPr>
      <w:r>
        <w:rPr>
          <w:rFonts w:ascii="仿宋" w:hAnsi="仿宋" w:eastAsia="仿宋"/>
          <w:sz w:val="24"/>
        </w:rPr>
        <w:t>1.竞赛采用团队比赛形式。</w:t>
      </w:r>
    </w:p>
    <w:p>
      <w:pPr>
        <w:spacing w:line="360" w:lineRule="auto"/>
        <w:ind w:firstLine="480" w:firstLineChars="200"/>
        <w:rPr>
          <w:rFonts w:ascii="仿宋" w:hAnsi="仿宋" w:eastAsia="仿宋"/>
          <w:sz w:val="24"/>
        </w:rPr>
      </w:pPr>
      <w:r>
        <w:rPr>
          <w:rFonts w:ascii="仿宋" w:hAnsi="仿宋" w:eastAsia="仿宋"/>
          <w:sz w:val="24"/>
        </w:rPr>
        <w:t>2.参赛队名称：统一使用学校名称(全称)。</w:t>
      </w:r>
    </w:p>
    <w:p>
      <w:pPr>
        <w:spacing w:line="360" w:lineRule="auto"/>
        <w:ind w:firstLine="480" w:firstLineChars="200"/>
        <w:rPr>
          <w:rFonts w:ascii="仿宋" w:hAnsi="仿宋" w:eastAsia="仿宋"/>
          <w:sz w:val="24"/>
        </w:rPr>
      </w:pPr>
      <w:r>
        <w:rPr>
          <w:rFonts w:ascii="仿宋" w:hAnsi="仿宋" w:eastAsia="仿宋"/>
          <w:sz w:val="24"/>
        </w:rPr>
        <w:t>3.参赛队组成：参赛选手为</w:t>
      </w:r>
      <w:r>
        <w:rPr>
          <w:rFonts w:hint="eastAsia" w:ascii="仿宋" w:hAnsi="仿宋" w:eastAsia="仿宋"/>
          <w:sz w:val="24"/>
        </w:rPr>
        <w:t>2018</w:t>
      </w:r>
      <w:r>
        <w:rPr>
          <w:rFonts w:ascii="仿宋" w:hAnsi="仿宋" w:eastAsia="仿宋"/>
          <w:sz w:val="24"/>
        </w:rPr>
        <w:t>年在籍高职学生，不分性别</w:t>
      </w:r>
      <w:r>
        <w:rPr>
          <w:rFonts w:hint="eastAsia" w:ascii="仿宋" w:hAnsi="仿宋" w:eastAsia="仿宋"/>
          <w:sz w:val="24"/>
        </w:rPr>
        <w:t>、</w:t>
      </w:r>
      <w:r>
        <w:rPr>
          <w:rFonts w:ascii="仿宋" w:hAnsi="仿宋" w:eastAsia="仿宋"/>
          <w:sz w:val="24"/>
        </w:rPr>
        <w:t>不分年级，每队</w:t>
      </w:r>
      <w:r>
        <w:rPr>
          <w:rFonts w:hint="eastAsia" w:ascii="仿宋" w:hAnsi="仿宋" w:eastAsia="仿宋"/>
          <w:sz w:val="24"/>
        </w:rPr>
        <w:t>4</w:t>
      </w:r>
      <w:r>
        <w:rPr>
          <w:rFonts w:ascii="仿宋" w:hAnsi="仿宋" w:eastAsia="仿宋"/>
          <w:sz w:val="24"/>
        </w:rPr>
        <w:t>名选手。</w:t>
      </w:r>
    </w:p>
    <w:p>
      <w:pPr>
        <w:spacing w:line="360" w:lineRule="auto"/>
        <w:ind w:firstLine="480" w:firstLineChars="200"/>
        <w:rPr>
          <w:rFonts w:ascii="仿宋" w:hAnsi="仿宋" w:eastAsia="仿宋"/>
          <w:sz w:val="24"/>
        </w:rPr>
      </w:pPr>
      <w:r>
        <w:rPr>
          <w:rFonts w:ascii="仿宋" w:hAnsi="仿宋" w:eastAsia="仿宋"/>
          <w:sz w:val="24"/>
        </w:rPr>
        <w:t>4.每个参赛队配</w:t>
      </w:r>
      <w:r>
        <w:rPr>
          <w:rFonts w:hint="eastAsia" w:ascii="仿宋" w:hAnsi="仿宋" w:eastAsia="仿宋"/>
          <w:sz w:val="24"/>
        </w:rPr>
        <w:t>1-2</w:t>
      </w:r>
      <w:r>
        <w:rPr>
          <w:rFonts w:ascii="仿宋" w:hAnsi="仿宋" w:eastAsia="仿宋"/>
          <w:sz w:val="24"/>
        </w:rPr>
        <w:t>名指导教师，</w:t>
      </w:r>
      <w:r>
        <w:rPr>
          <w:rFonts w:hint="eastAsia" w:ascii="仿宋" w:hAnsi="仿宋" w:eastAsia="仿宋"/>
          <w:sz w:val="24"/>
        </w:rPr>
        <w:t>1</w:t>
      </w:r>
      <w:r>
        <w:rPr>
          <w:rFonts w:ascii="仿宋" w:hAnsi="仿宋" w:eastAsia="仿宋"/>
          <w:sz w:val="24"/>
        </w:rPr>
        <w:t>名领队组成。负责本校参赛队的参赛组织和与大赛组织机构的联络。</w:t>
      </w:r>
    </w:p>
    <w:p>
      <w:pPr>
        <w:spacing w:line="360" w:lineRule="auto"/>
        <w:ind w:firstLine="480" w:firstLineChars="200"/>
        <w:rPr>
          <w:rFonts w:ascii="仿宋" w:hAnsi="仿宋" w:eastAsia="仿宋"/>
          <w:sz w:val="24"/>
        </w:rPr>
      </w:pPr>
      <w:r>
        <w:rPr>
          <w:rFonts w:ascii="仿宋" w:hAnsi="仿宋" w:eastAsia="仿宋"/>
          <w:sz w:val="24"/>
        </w:rPr>
        <w:t>5.参赛队所有人员在竞赛期间未经组委会批准，不得接受任何与竞赛内容相关的采访，不得将竞赛的相关情况及资料私自公开。</w:t>
      </w:r>
    </w:p>
    <w:p>
      <w:pPr>
        <w:spacing w:line="360" w:lineRule="auto"/>
        <w:ind w:firstLine="472" w:firstLineChars="196"/>
        <w:rPr>
          <w:rFonts w:ascii="仿宋" w:hAnsi="仿宋" w:eastAsia="仿宋"/>
          <w:sz w:val="24"/>
        </w:rPr>
      </w:pPr>
      <w:r>
        <w:rPr>
          <w:rFonts w:ascii="仿宋" w:hAnsi="仿宋" w:eastAsia="仿宋"/>
          <w:b/>
          <w:sz w:val="24"/>
        </w:rPr>
        <w:t>（二）领队和指导教师须知</w:t>
      </w:r>
    </w:p>
    <w:p>
      <w:pPr>
        <w:spacing w:line="360" w:lineRule="auto"/>
        <w:ind w:firstLine="480" w:firstLineChars="200"/>
        <w:rPr>
          <w:rFonts w:ascii="仿宋" w:hAnsi="仿宋" w:eastAsia="仿宋"/>
          <w:sz w:val="24"/>
        </w:rPr>
      </w:pPr>
      <w:r>
        <w:rPr>
          <w:rFonts w:ascii="仿宋" w:hAnsi="仿宋" w:eastAsia="仿宋"/>
          <w:sz w:val="24"/>
        </w:rPr>
        <w:t>1.各参赛代表队要发扬良好道德风尚，听从指挥，服从裁判，不弄虚作假。如发现弄虚作假者，取消参赛资格，名次无效。</w:t>
      </w:r>
    </w:p>
    <w:p>
      <w:pPr>
        <w:spacing w:line="360" w:lineRule="auto"/>
        <w:rPr>
          <w:rFonts w:ascii="仿宋" w:hAnsi="仿宋" w:eastAsia="仿宋"/>
          <w:sz w:val="24"/>
        </w:rPr>
      </w:pPr>
      <w:r>
        <w:rPr>
          <w:rFonts w:ascii="仿宋" w:hAnsi="仿宋" w:eastAsia="仿宋"/>
          <w:sz w:val="24"/>
        </w:rPr>
        <w:t xml:space="preserve"> </w:t>
      </w:r>
      <w:r>
        <w:rPr>
          <w:rFonts w:hint="eastAsia" w:ascii="仿宋" w:hAnsi="仿宋" w:eastAsia="仿宋"/>
          <w:sz w:val="24"/>
        </w:rPr>
        <w:t xml:space="preserve">   </w:t>
      </w:r>
      <w:r>
        <w:rPr>
          <w:rFonts w:ascii="仿宋" w:hAnsi="仿宋" w:eastAsia="仿宋"/>
          <w:sz w:val="24"/>
        </w:rPr>
        <w:t>2.各代表队领队要坚决执行竞赛的各项规定，加强对参赛人员的管理，做好赛前准备工作，督促选手带好证件等竞赛相关材料。</w:t>
      </w:r>
    </w:p>
    <w:p>
      <w:pPr>
        <w:spacing w:line="360" w:lineRule="auto"/>
        <w:ind w:firstLine="480" w:firstLineChars="200"/>
        <w:rPr>
          <w:rFonts w:ascii="仿宋" w:hAnsi="仿宋" w:eastAsia="仿宋"/>
          <w:sz w:val="24"/>
        </w:rPr>
      </w:pPr>
      <w:r>
        <w:rPr>
          <w:rFonts w:ascii="仿宋" w:hAnsi="仿宋" w:eastAsia="仿宋"/>
          <w:sz w:val="24"/>
        </w:rPr>
        <w:t>3.竞赛过程中，除参加当场次竞赛的选手、执行裁判员、现场工作人员和经批准的人员外，领队、指导教师及其他人员一律不得进入竞赛现场。</w:t>
      </w:r>
    </w:p>
    <w:p>
      <w:pPr>
        <w:spacing w:line="360" w:lineRule="auto"/>
        <w:ind w:firstLine="480" w:firstLineChars="200"/>
        <w:rPr>
          <w:rFonts w:ascii="仿宋" w:hAnsi="仿宋" w:eastAsia="仿宋"/>
          <w:sz w:val="24"/>
        </w:rPr>
      </w:pPr>
      <w:r>
        <w:rPr>
          <w:rFonts w:ascii="仿宋" w:hAnsi="仿宋" w:eastAsia="仿宋"/>
          <w:sz w:val="24"/>
        </w:rPr>
        <w:t>4.参赛代表队若对竞赛过程有异议，在</w:t>
      </w:r>
      <w:r>
        <w:rPr>
          <w:rFonts w:hint="eastAsia" w:ascii="仿宋" w:hAnsi="仿宋" w:eastAsia="仿宋"/>
          <w:sz w:val="24"/>
        </w:rPr>
        <w:t>1</w:t>
      </w:r>
      <w:r>
        <w:rPr>
          <w:rFonts w:ascii="仿宋" w:hAnsi="仿宋" w:eastAsia="仿宋"/>
          <w:sz w:val="24"/>
        </w:rPr>
        <w:t>小时内由领队向赛项仲裁工作组提出书面报告。</w:t>
      </w:r>
    </w:p>
    <w:p>
      <w:pPr>
        <w:spacing w:line="360" w:lineRule="auto"/>
        <w:ind w:firstLine="480" w:firstLineChars="200"/>
        <w:rPr>
          <w:rFonts w:ascii="仿宋" w:hAnsi="仿宋" w:eastAsia="仿宋"/>
          <w:sz w:val="24"/>
        </w:rPr>
      </w:pPr>
      <w:r>
        <w:rPr>
          <w:rFonts w:ascii="仿宋" w:hAnsi="仿宋" w:eastAsia="仿宋"/>
          <w:sz w:val="24"/>
        </w:rPr>
        <w:t>5.对申诉的仲裁结果，领队要带头服从和执行，并做好选手工作。参赛选手不得因申诉或对处理意见不服而停止竞赛，否则以弃权处理。</w:t>
      </w:r>
    </w:p>
    <w:p>
      <w:pPr>
        <w:spacing w:line="360" w:lineRule="auto"/>
        <w:ind w:firstLine="360" w:firstLineChars="150"/>
        <w:rPr>
          <w:rFonts w:ascii="仿宋" w:hAnsi="仿宋" w:eastAsia="仿宋"/>
          <w:sz w:val="24"/>
        </w:rPr>
      </w:pPr>
      <w:r>
        <w:rPr>
          <w:rFonts w:ascii="仿宋" w:hAnsi="仿宋" w:eastAsia="仿宋"/>
          <w:sz w:val="24"/>
        </w:rPr>
        <w:t xml:space="preserve"> 6.指导老师应及时查看大赛专用网页有关赛项的通知和内容，认真研究和掌握本赛项竞赛的规程、技术规范和赛场要求，指导选手做好赛前的一切技术准备和竞赛准备。</w:t>
      </w:r>
    </w:p>
    <w:p>
      <w:pPr>
        <w:spacing w:line="360" w:lineRule="auto"/>
        <w:ind w:firstLine="472" w:firstLineChars="196"/>
        <w:rPr>
          <w:rFonts w:ascii="仿宋" w:hAnsi="仿宋" w:eastAsia="仿宋"/>
          <w:sz w:val="24"/>
        </w:rPr>
      </w:pPr>
      <w:r>
        <w:rPr>
          <w:rFonts w:ascii="仿宋" w:hAnsi="仿宋" w:eastAsia="仿宋"/>
          <w:b/>
          <w:sz w:val="24"/>
        </w:rPr>
        <w:t>（三）参赛选手须知</w:t>
      </w:r>
    </w:p>
    <w:p>
      <w:pPr>
        <w:spacing w:line="360" w:lineRule="auto"/>
        <w:ind w:firstLine="480" w:firstLineChars="200"/>
        <w:rPr>
          <w:rFonts w:ascii="仿宋" w:hAnsi="仿宋" w:eastAsia="仿宋"/>
          <w:sz w:val="24"/>
        </w:rPr>
      </w:pPr>
      <w:r>
        <w:rPr>
          <w:rFonts w:ascii="仿宋" w:hAnsi="仿宋" w:eastAsia="仿宋"/>
          <w:sz w:val="24"/>
        </w:rPr>
        <w:t>1.参赛选手须认真填写报名表内容，提供个人身份证明，弄虚作假者，将取消比赛资格和竞赛成绩。</w:t>
      </w:r>
    </w:p>
    <w:p>
      <w:pPr>
        <w:spacing w:line="360" w:lineRule="auto"/>
        <w:ind w:firstLine="480" w:firstLineChars="200"/>
        <w:rPr>
          <w:rFonts w:ascii="仿宋" w:hAnsi="仿宋" w:eastAsia="仿宋"/>
          <w:sz w:val="24"/>
        </w:rPr>
      </w:pPr>
      <w:r>
        <w:rPr>
          <w:rFonts w:ascii="仿宋" w:hAnsi="仿宋" w:eastAsia="仿宋"/>
          <w:sz w:val="24"/>
        </w:rPr>
        <w:t>2.参赛选手凭统一印制的参赛证和有效身份证件参加竞赛。</w:t>
      </w:r>
    </w:p>
    <w:p>
      <w:pPr>
        <w:spacing w:line="360" w:lineRule="auto"/>
        <w:ind w:firstLine="480" w:firstLineChars="200"/>
        <w:rPr>
          <w:rFonts w:ascii="仿宋" w:hAnsi="仿宋" w:eastAsia="仿宋"/>
          <w:sz w:val="24"/>
        </w:rPr>
      </w:pPr>
      <w:r>
        <w:rPr>
          <w:rFonts w:ascii="仿宋" w:hAnsi="仿宋" w:eastAsia="仿宋"/>
          <w:sz w:val="24"/>
        </w:rPr>
        <w:t>3.参赛选手应认真学习领会本次竞赛相关文件，自觉遵守大赛纪律，服从指挥，听从安排，文明参赛。</w:t>
      </w:r>
    </w:p>
    <w:p>
      <w:pPr>
        <w:spacing w:line="360" w:lineRule="auto"/>
        <w:ind w:firstLine="480" w:firstLineChars="200"/>
        <w:rPr>
          <w:rFonts w:ascii="仿宋" w:hAnsi="仿宋" w:eastAsia="仿宋"/>
          <w:sz w:val="24"/>
        </w:rPr>
      </w:pPr>
      <w:r>
        <w:rPr>
          <w:rFonts w:ascii="仿宋" w:hAnsi="仿宋" w:eastAsia="仿宋"/>
          <w:sz w:val="24"/>
        </w:rPr>
        <w:t>4.参赛选手请勿携带与竞赛无关的电子设备、通讯设备及其他资料与用品。</w:t>
      </w:r>
    </w:p>
    <w:p>
      <w:pPr>
        <w:spacing w:line="360" w:lineRule="auto"/>
        <w:ind w:firstLine="480" w:firstLineChars="200"/>
        <w:rPr>
          <w:rFonts w:ascii="仿宋" w:hAnsi="仿宋" w:eastAsia="仿宋"/>
          <w:sz w:val="24"/>
        </w:rPr>
      </w:pPr>
      <w:r>
        <w:rPr>
          <w:rFonts w:ascii="仿宋" w:hAnsi="仿宋" w:eastAsia="仿宋"/>
          <w:sz w:val="24"/>
        </w:rPr>
        <w:t>5.参赛选手应提前</w:t>
      </w:r>
      <w:r>
        <w:rPr>
          <w:rFonts w:hint="eastAsia" w:ascii="仿宋" w:hAnsi="仿宋" w:eastAsia="仿宋"/>
          <w:sz w:val="24"/>
        </w:rPr>
        <w:t>30</w:t>
      </w:r>
      <w:r>
        <w:rPr>
          <w:rFonts w:ascii="仿宋" w:hAnsi="仿宋" w:eastAsia="仿宋"/>
          <w:sz w:val="24"/>
        </w:rPr>
        <w:t>分钟抵达赛场，凭参赛证、身份证件检录，检录后参赛选手身份证件交由领队代管，按要求入场，不得迟到早退。</w:t>
      </w:r>
    </w:p>
    <w:p>
      <w:pPr>
        <w:spacing w:line="360" w:lineRule="auto"/>
        <w:ind w:firstLine="480" w:firstLineChars="200"/>
        <w:rPr>
          <w:rFonts w:ascii="仿宋" w:hAnsi="仿宋" w:eastAsia="仿宋"/>
          <w:sz w:val="24"/>
        </w:rPr>
      </w:pPr>
      <w:r>
        <w:rPr>
          <w:rFonts w:ascii="仿宋" w:hAnsi="仿宋" w:eastAsia="仿宋"/>
          <w:sz w:val="24"/>
        </w:rPr>
        <w:t>6.参赛选手应按有关要求在指定位置就坐。选手座次抽签决定。</w:t>
      </w:r>
    </w:p>
    <w:p>
      <w:pPr>
        <w:spacing w:line="360" w:lineRule="auto"/>
        <w:ind w:firstLine="480" w:firstLineChars="200"/>
        <w:rPr>
          <w:rFonts w:ascii="仿宋" w:hAnsi="仿宋" w:eastAsia="仿宋"/>
          <w:sz w:val="24"/>
        </w:rPr>
      </w:pPr>
      <w:r>
        <w:rPr>
          <w:rFonts w:ascii="仿宋" w:hAnsi="仿宋" w:eastAsia="仿宋"/>
          <w:sz w:val="24"/>
        </w:rPr>
        <w:t>7.在竞赛过程中，如有疑问，参赛选手应举手示意，裁判人员应按照有关要求及时予以答疑。确因计算机软件或硬件故障，致使操作无法继续的，经裁判长确认同意后，予以启用备用计算机。</w:t>
      </w:r>
    </w:p>
    <w:p>
      <w:pPr>
        <w:spacing w:line="360" w:lineRule="auto"/>
        <w:ind w:firstLine="472" w:firstLineChars="196"/>
        <w:rPr>
          <w:rFonts w:ascii="仿宋" w:hAnsi="仿宋" w:eastAsia="仿宋"/>
          <w:b/>
          <w:sz w:val="24"/>
        </w:rPr>
      </w:pPr>
      <w:r>
        <w:rPr>
          <w:rFonts w:ascii="仿宋" w:hAnsi="仿宋" w:eastAsia="仿宋"/>
          <w:b/>
          <w:sz w:val="24"/>
        </w:rPr>
        <w:t>（四）工作人员须知</w:t>
      </w:r>
    </w:p>
    <w:p>
      <w:pPr>
        <w:spacing w:line="360" w:lineRule="auto"/>
        <w:ind w:firstLine="480" w:firstLineChars="200"/>
        <w:rPr>
          <w:rFonts w:ascii="仿宋" w:hAnsi="仿宋" w:eastAsia="仿宋"/>
          <w:sz w:val="24"/>
        </w:rPr>
      </w:pPr>
      <w:r>
        <w:rPr>
          <w:rFonts w:ascii="仿宋" w:hAnsi="仿宋" w:eastAsia="仿宋"/>
          <w:sz w:val="24"/>
        </w:rPr>
        <w:t>1.树立服务观念，一切为选手着想，以高度负责的精神、严肃认真的态度和严谨细致的作风，在赛项执委会的领导下，按照各自职责分工和要求认真做好岗位工作。</w:t>
      </w:r>
    </w:p>
    <w:p>
      <w:pPr>
        <w:spacing w:line="360" w:lineRule="auto"/>
        <w:ind w:firstLine="480" w:firstLineChars="200"/>
        <w:rPr>
          <w:rFonts w:ascii="仿宋" w:hAnsi="仿宋" w:eastAsia="仿宋"/>
          <w:sz w:val="24"/>
        </w:rPr>
      </w:pPr>
      <w:r>
        <w:rPr>
          <w:rFonts w:ascii="仿宋" w:hAnsi="仿宋" w:eastAsia="仿宋"/>
          <w:sz w:val="24"/>
        </w:rPr>
        <w:t>2.所有工作人员必须佩带证件，忠于职守，秉公办理，保守秘密。</w:t>
      </w:r>
    </w:p>
    <w:p>
      <w:pPr>
        <w:spacing w:line="360" w:lineRule="auto"/>
        <w:ind w:firstLine="480" w:firstLineChars="200"/>
        <w:rPr>
          <w:rFonts w:ascii="仿宋" w:hAnsi="仿宋" w:eastAsia="仿宋"/>
          <w:sz w:val="24"/>
        </w:rPr>
      </w:pPr>
      <w:r>
        <w:rPr>
          <w:rFonts w:ascii="仿宋" w:hAnsi="仿宋" w:eastAsia="仿宋"/>
          <w:sz w:val="24"/>
        </w:rPr>
        <w:t>3.注意文明礼貌，保持良好形象，熟悉赛项指南。</w:t>
      </w:r>
    </w:p>
    <w:p>
      <w:pPr>
        <w:spacing w:line="360" w:lineRule="auto"/>
        <w:ind w:firstLine="480" w:firstLineChars="200"/>
        <w:rPr>
          <w:rFonts w:ascii="仿宋" w:hAnsi="仿宋" w:eastAsia="仿宋"/>
          <w:sz w:val="24"/>
        </w:rPr>
      </w:pPr>
      <w:r>
        <w:rPr>
          <w:rFonts w:ascii="仿宋" w:hAnsi="仿宋" w:eastAsia="仿宋"/>
          <w:sz w:val="24"/>
        </w:rPr>
        <w:t>4.自觉遵守赛项纪律和规则，服从调配和分工，确保竞赛工作的顺利进行。</w:t>
      </w:r>
    </w:p>
    <w:p>
      <w:pPr>
        <w:spacing w:line="360" w:lineRule="auto"/>
        <w:ind w:firstLine="480" w:firstLineChars="200"/>
        <w:rPr>
          <w:rFonts w:ascii="仿宋" w:hAnsi="仿宋" w:eastAsia="仿宋"/>
          <w:sz w:val="24"/>
        </w:rPr>
      </w:pPr>
      <w:r>
        <w:rPr>
          <w:rFonts w:ascii="仿宋" w:hAnsi="仿宋" w:eastAsia="仿宋"/>
          <w:sz w:val="24"/>
        </w:rPr>
        <w:t>5.提前</w:t>
      </w:r>
      <w:r>
        <w:rPr>
          <w:rFonts w:hint="eastAsia" w:ascii="仿宋" w:hAnsi="仿宋" w:eastAsia="仿宋"/>
          <w:sz w:val="24"/>
        </w:rPr>
        <w:t>30</w:t>
      </w:r>
      <w:r>
        <w:rPr>
          <w:rFonts w:ascii="仿宋" w:hAnsi="仿宋" w:eastAsia="仿宋"/>
          <w:sz w:val="24"/>
        </w:rPr>
        <w:t>分钟到达赛场，严守工作岗位，不迟到，不早退，不无故离岗，特殊情况需向工作组组长请假。</w:t>
      </w:r>
    </w:p>
    <w:p>
      <w:pPr>
        <w:spacing w:line="360" w:lineRule="auto"/>
        <w:ind w:firstLine="480" w:firstLineChars="200"/>
        <w:rPr>
          <w:rFonts w:ascii="仿宋" w:hAnsi="仿宋" w:eastAsia="仿宋"/>
          <w:sz w:val="24"/>
        </w:rPr>
      </w:pPr>
      <w:r>
        <w:rPr>
          <w:rFonts w:ascii="仿宋" w:hAnsi="仿宋" w:eastAsia="仿宋"/>
          <w:sz w:val="24"/>
        </w:rPr>
        <w:t>6.熟悉竞赛规程，严格按照工作程序和有关规定办事，遇突发事件，按照应急预案，组织指挥人员疏散，确保人员安全。</w:t>
      </w:r>
    </w:p>
    <w:p>
      <w:pPr>
        <w:spacing w:line="360" w:lineRule="auto"/>
        <w:ind w:firstLine="480" w:firstLineChars="200"/>
        <w:rPr>
          <w:rFonts w:ascii="仿宋" w:hAnsi="仿宋" w:eastAsia="仿宋"/>
          <w:sz w:val="24"/>
        </w:rPr>
      </w:pPr>
      <w:r>
        <w:rPr>
          <w:rFonts w:ascii="仿宋" w:hAnsi="仿宋" w:eastAsia="仿宋"/>
          <w:sz w:val="24"/>
        </w:rPr>
        <w:t>7.保持通信畅通，服从统一领导，严格遵守竞赛纪律，加强协作配合，提高工作效率。</w:t>
      </w:r>
    </w:p>
    <w:p>
      <w:pPr>
        <w:spacing w:line="360" w:lineRule="auto"/>
        <w:rPr>
          <w:b/>
          <w:sz w:val="30"/>
          <w:szCs w:val="30"/>
        </w:rPr>
      </w:pPr>
      <w:r>
        <w:rPr>
          <w:b/>
          <w:sz w:val="30"/>
          <w:szCs w:val="30"/>
        </w:rPr>
        <w:t>本规程最终解释权归福建省大赛组委会。</w:t>
      </w:r>
    </w:p>
    <w:p>
      <w:pPr>
        <w:spacing w:line="360" w:lineRule="auto"/>
        <w:jc w:val="center"/>
        <w:rPr>
          <w:b/>
          <w:sz w:val="30"/>
          <w:szCs w:val="30"/>
        </w:rPr>
      </w:pPr>
      <w:r>
        <w:rPr>
          <w:b/>
          <w:sz w:val="30"/>
          <w:szCs w:val="30"/>
        </w:rPr>
        <w:t>附：竞赛试题及评分细节</w:t>
      </w:r>
    </w:p>
    <w:p>
      <w:pPr>
        <w:spacing w:line="360" w:lineRule="auto"/>
        <w:jc w:val="center"/>
        <w:rPr>
          <w:b/>
          <w:sz w:val="30"/>
          <w:szCs w:val="30"/>
        </w:rPr>
      </w:pPr>
      <w:r>
        <w:rPr>
          <w:b/>
          <w:sz w:val="30"/>
          <w:szCs w:val="30"/>
        </w:rPr>
        <w:t>“银行业务综合技能”赛项（部分样题）</w:t>
      </w:r>
    </w:p>
    <w:p>
      <w:pPr>
        <w:spacing w:line="360" w:lineRule="auto"/>
      </w:pPr>
    </w:p>
    <w:p>
      <w:pPr>
        <w:spacing w:line="360" w:lineRule="auto"/>
        <w:rPr>
          <w:sz w:val="24"/>
        </w:rPr>
      </w:pPr>
    </w:p>
    <w:p>
      <w:pPr>
        <w:snapToGrid w:val="0"/>
        <w:spacing w:line="360" w:lineRule="auto"/>
        <w:ind w:left="420"/>
        <w:outlineLvl w:val="0"/>
        <w:rPr>
          <w:rFonts w:ascii="Arial Narrow" w:hAnsi="Arial Narrow" w:eastAsia="仿宋_GB2312" w:cs="Arial"/>
          <w:b/>
          <w:sz w:val="24"/>
        </w:rPr>
      </w:pPr>
      <w:r>
        <w:rPr>
          <w:rFonts w:hint="eastAsia" w:ascii="Arial Narrow" w:hAnsi="Arial Narrow" w:eastAsia="仿宋_GB2312" w:cs="Arial"/>
          <w:b/>
          <w:sz w:val="24"/>
        </w:rPr>
        <w:t>（一）“银行从业知识”竞赛</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1.（单选）银监会对于小微企业信贷“三个不低于”指标包括（   ）。</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A.小微贷款增速不低于各项贷款平均增速</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B.小微企业贷款户数不低于上年同期水平</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C.小微企业贷款增量不低于上年同期水平</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D.小微企业申贷获得率不低于上年同期水平</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2.（单选）银行从业人员应树立保密观念，增强保密意识，严格遵守保密法规，自觉履行保密责任，这体现了银行从业人员的（   ）行为规范。</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 xml:space="preserve">A.自觉保密 </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 xml:space="preserve">B.交易信息公开 </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 xml:space="preserve">C.妥善处理客户要求 </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D.保护消费者信息</w:t>
      </w:r>
    </w:p>
    <w:p>
      <w:pPr>
        <w:pStyle w:val="16"/>
        <w:widowControl/>
        <w:numPr>
          <w:ilvl w:val="0"/>
          <w:numId w:val="1"/>
        </w:numPr>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（单选）以下不可以成为签约账户的是（    ）</w:t>
      </w:r>
    </w:p>
    <w:p>
      <w:pPr>
        <w:pStyle w:val="16"/>
        <w:widowControl/>
        <w:numPr>
          <w:ilvl w:val="0"/>
          <w:numId w:val="2"/>
        </w:numPr>
        <w:spacing w:line="360" w:lineRule="auto"/>
        <w:ind w:firstLine="600"/>
        <w:jc w:val="left"/>
        <w:rPr>
          <w:rFonts w:ascii="仿宋_GB2312" w:hAnsi="微软雅黑" w:eastAsia="仿宋_GB2312" w:cs="Arial"/>
          <w:sz w:val="24"/>
        </w:rPr>
      </w:pPr>
      <w:r>
        <w:rPr>
          <w:rFonts w:hint="eastAsia" w:ascii="仿宋_GB2312" w:hAnsi="微软雅黑" w:eastAsia="仿宋_GB2312" w:cs="Arial"/>
          <w:sz w:val="24"/>
        </w:rPr>
        <w:t xml:space="preserve">外币定期一本通 </w:t>
      </w:r>
    </w:p>
    <w:p>
      <w:pPr>
        <w:pStyle w:val="16"/>
        <w:widowControl/>
        <w:numPr>
          <w:ilvl w:val="0"/>
          <w:numId w:val="2"/>
        </w:numPr>
        <w:spacing w:line="360" w:lineRule="auto"/>
        <w:ind w:firstLine="600"/>
        <w:jc w:val="left"/>
        <w:rPr>
          <w:rFonts w:ascii="仿宋_GB2312" w:hAnsi="微软雅黑" w:eastAsia="仿宋_GB2312" w:cs="Arial"/>
          <w:sz w:val="24"/>
        </w:rPr>
      </w:pPr>
      <w:r>
        <w:rPr>
          <w:rFonts w:hint="eastAsia" w:ascii="仿宋_GB2312" w:hAnsi="微软雅黑" w:eastAsia="仿宋_GB2312" w:cs="Arial"/>
          <w:sz w:val="24"/>
        </w:rPr>
        <w:t xml:space="preserve">本币绿卡通主卡 </w:t>
      </w:r>
    </w:p>
    <w:p>
      <w:pPr>
        <w:pStyle w:val="16"/>
        <w:widowControl/>
        <w:numPr>
          <w:ilvl w:val="0"/>
          <w:numId w:val="2"/>
        </w:numPr>
        <w:spacing w:line="360" w:lineRule="auto"/>
        <w:ind w:firstLine="600"/>
        <w:jc w:val="left"/>
        <w:rPr>
          <w:rFonts w:ascii="仿宋_GB2312" w:hAnsi="微软雅黑" w:eastAsia="仿宋_GB2312" w:cs="Arial"/>
          <w:sz w:val="24"/>
        </w:rPr>
      </w:pPr>
      <w:r>
        <w:rPr>
          <w:rFonts w:hint="eastAsia" w:ascii="仿宋_GB2312" w:hAnsi="微软雅黑" w:eastAsia="仿宋_GB2312" w:cs="Arial"/>
          <w:sz w:val="24"/>
        </w:rPr>
        <w:t xml:space="preserve">外币绿卡通主卡 </w:t>
      </w:r>
    </w:p>
    <w:p>
      <w:pPr>
        <w:pStyle w:val="16"/>
        <w:widowControl/>
        <w:numPr>
          <w:ilvl w:val="0"/>
          <w:numId w:val="2"/>
        </w:numPr>
        <w:spacing w:line="360" w:lineRule="auto"/>
        <w:ind w:firstLine="600"/>
        <w:jc w:val="left"/>
        <w:rPr>
          <w:rFonts w:ascii="仿宋_GB2312" w:hAnsi="微软雅黑" w:eastAsia="仿宋_GB2312" w:cs="Arial"/>
          <w:sz w:val="24"/>
        </w:rPr>
      </w:pPr>
      <w:r>
        <w:rPr>
          <w:rFonts w:hint="eastAsia" w:ascii="仿宋_GB2312" w:hAnsi="微软雅黑" w:eastAsia="仿宋_GB2312" w:cs="Arial"/>
          <w:sz w:val="24"/>
        </w:rPr>
        <w:t>通知存款存单</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4.（多选）商业银行理财产品销售文件包括（  ）。</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A.风险揭示书</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B.产品宣传折页</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C.客户权益须知</w:t>
      </w:r>
    </w:p>
    <w:p>
      <w:pPr>
        <w:pStyle w:val="16"/>
        <w:widowControl/>
        <w:spacing w:line="360" w:lineRule="auto"/>
        <w:ind w:left="567" w:leftChars="270"/>
        <w:jc w:val="left"/>
        <w:rPr>
          <w:rFonts w:ascii="仿宋_GB2312" w:hAnsi="微软雅黑" w:eastAsia="仿宋_GB2312" w:cs="Arial"/>
          <w:sz w:val="24"/>
        </w:rPr>
      </w:pPr>
      <w:r>
        <w:rPr>
          <w:rFonts w:ascii="仿宋_GB2312" w:hAnsi="微软雅黑" w:eastAsia="仿宋_GB2312" w:cs="Arial"/>
          <w:sz w:val="24"/>
        </w:rPr>
        <w:t>D</w:t>
      </w:r>
      <w:r>
        <w:rPr>
          <w:rFonts w:hint="eastAsia" w:ascii="仿宋_GB2312" w:hAnsi="微软雅黑" w:eastAsia="仿宋_GB2312" w:cs="Arial"/>
          <w:sz w:val="24"/>
        </w:rPr>
        <w:t>.理财产品说明书</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5</w:t>
      </w:r>
      <w:r>
        <w:rPr>
          <w:rFonts w:ascii="仿宋_GB2312" w:hAnsi="微软雅黑" w:eastAsia="仿宋_GB2312" w:cs="Arial"/>
          <w:sz w:val="24"/>
        </w:rPr>
        <w:t>.</w:t>
      </w:r>
      <w:r>
        <w:rPr>
          <w:rFonts w:hint="eastAsia" w:ascii="仿宋_GB2312" w:hAnsi="微软雅黑" w:eastAsia="仿宋_GB2312" w:cs="Arial"/>
          <w:sz w:val="24"/>
        </w:rPr>
        <w:t>（多选）银行在收缴假币过程中有下列哪些情形，应当立即报当地公安机关，提供有关线索。（    ）</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A.一次性发现假人民币20张（枚）（含20张、枚）以上</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B.假外币20张（含20张、枚）以上的</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C.属于利用新的造假手段制造假币的</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D.消费者不配合金融机构收缴行为的</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6.（多选）目前银行代理的保险险种中，占据主流的是（  ）</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A. 投连险</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B. 家庭财产险</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C. 分红险</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D. 万能险</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7.（判断）银行应及时受理各项投诉并登记，受理后应当通过短信、电话、电子邮件或信函等方式告知客户受理情况、处理时限和联系方式。（    ）</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A.正确</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B.错误</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8.（判断）柜员了解客户办理的业务，重复一遍获得客户确认后办理。重复时，声音要小，以仅让客户本人听到为宜，为客户保密。（    ）</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A.正确</w:t>
      </w:r>
    </w:p>
    <w:p>
      <w:pPr>
        <w:pStyle w:val="16"/>
        <w:widowControl/>
        <w:spacing w:line="360" w:lineRule="auto"/>
        <w:ind w:left="567" w:leftChars="270"/>
        <w:jc w:val="left"/>
        <w:rPr>
          <w:rFonts w:ascii="仿宋_GB2312" w:hAnsi="微软雅黑" w:eastAsia="仿宋_GB2312" w:cs="Arial"/>
          <w:sz w:val="24"/>
        </w:rPr>
      </w:pPr>
      <w:r>
        <w:rPr>
          <w:rFonts w:hint="eastAsia" w:ascii="仿宋_GB2312" w:hAnsi="微软雅黑" w:eastAsia="仿宋_GB2312" w:cs="Arial"/>
          <w:sz w:val="24"/>
        </w:rPr>
        <w:t>B.错误</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9.关于合同生效要件的说法中，不正确的是(  )。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A:至少有一方当事人具有相应的民事行为能力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B:当事人意思表示真实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C:合同标的合法，即当事人签订的合同不违反法律和社会公共利益。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D:合同标的须确定和可能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10.(  )是《巴塞尔新资本协会》的第一支柱。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A:资本协商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B:最低资本要求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C:外部监督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D:市场约束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11.当企业经营周转资金出现缺口，可以申请的贷款是（　）。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A:项目贷款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B:流动资金贷款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C:固定资产贷款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D:房地产贷款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12.银行风险中的国家风险不包括(  )。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A:政治风险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B:市场风险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C:社会风险 </w:t>
      </w:r>
    </w:p>
    <w:p>
      <w:pPr>
        <w:spacing w:line="360" w:lineRule="auto"/>
        <w:rPr>
          <w:rFonts w:ascii="仿宋_GB2312" w:hAnsi="微软雅黑" w:eastAsia="仿宋_GB2312" w:cs="Arial"/>
          <w:sz w:val="24"/>
        </w:rPr>
      </w:pPr>
      <w:r>
        <w:rPr>
          <w:rFonts w:hint="eastAsia" w:ascii="仿宋_GB2312" w:hAnsi="仿宋_GB2312" w:eastAsia="仿宋_GB2312" w:cs="仿宋_GB2312"/>
          <w:sz w:val="24"/>
        </w:rPr>
        <w:t xml:space="preserve">    D:经济风险 </w:t>
      </w:r>
    </w:p>
    <w:p>
      <w:pPr>
        <w:snapToGrid w:val="0"/>
        <w:spacing w:line="360" w:lineRule="auto"/>
        <w:ind w:left="420"/>
        <w:outlineLvl w:val="0"/>
        <w:rPr>
          <w:rFonts w:ascii="Arial Narrow" w:hAnsi="Arial Narrow" w:eastAsia="仿宋_GB2312" w:cs="Arial"/>
          <w:b/>
          <w:sz w:val="24"/>
        </w:rPr>
      </w:pPr>
      <w:r>
        <w:rPr>
          <w:rFonts w:hint="eastAsia" w:ascii="Arial Narrow" w:hAnsi="Arial Narrow" w:eastAsia="仿宋_GB2312" w:cs="Arial"/>
          <w:b/>
          <w:sz w:val="24"/>
        </w:rPr>
        <w:t>（二）“银行基本技能”竞赛</w:t>
      </w:r>
    </w:p>
    <w:p>
      <w:pPr>
        <w:snapToGrid w:val="0"/>
        <w:spacing w:line="360" w:lineRule="auto"/>
        <w:ind w:firstLine="482" w:firstLineChars="200"/>
        <w:rPr>
          <w:rFonts w:ascii="Arial Narrow" w:hAnsi="Arial Narrow" w:eastAsia="仿宋_GB2312" w:cs="Arial"/>
          <w:b/>
          <w:bCs/>
          <w:sz w:val="24"/>
        </w:rPr>
      </w:pPr>
      <w:r>
        <w:rPr>
          <w:rFonts w:hint="eastAsia" w:ascii="Arial Narrow" w:hAnsi="Arial Narrow" w:eastAsia="仿宋_GB2312" w:cs="Arial"/>
          <w:b/>
          <w:bCs/>
          <w:sz w:val="24"/>
        </w:rPr>
        <w:t>任务1：传票算</w:t>
      </w:r>
    </w:p>
    <w:p>
      <w:pPr>
        <w:snapToGrid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赛前由命题专家确定不同传票型号（AB、CD、EF型）和页码范围的赛题，页码范围为连续的30页。赛前抽定题目后由技术人员将传票型号和页码范围输入竞赛平台系统。选手运用专用</w:t>
      </w:r>
      <w:r>
        <w:rPr>
          <w:rFonts w:ascii="仿宋_GB2312" w:hAnsi="仿宋_GB2312" w:eastAsia="仿宋_GB2312" w:cs="仿宋_GB2312"/>
          <w:sz w:val="24"/>
        </w:rPr>
        <w:t xml:space="preserve"> 计算器</w:t>
      </w:r>
      <w:r>
        <w:rPr>
          <w:rFonts w:hint="eastAsia" w:ascii="仿宋_GB2312" w:hAnsi="仿宋_GB2312" w:eastAsia="仿宋_GB2312" w:cs="仿宋_GB2312"/>
          <w:sz w:val="24"/>
        </w:rPr>
        <w:t>或电脑小键盘及Excel表汇总传票算结果，并输入到竞赛平台中。系统自动评分，竞赛时间为10分钟。</w:t>
      </w:r>
    </w:p>
    <w:p>
      <w:pPr>
        <w:snapToGrid w:val="0"/>
        <w:spacing w:line="360" w:lineRule="auto"/>
        <w:ind w:firstLine="480" w:firstLineChars="200"/>
        <w:jc w:val="left"/>
        <w:rPr>
          <w:rFonts w:ascii="仿宋_GB2312" w:hAnsi="仿宋_GB2312" w:eastAsia="仿宋_GB2312" w:cs="仿宋_GB2312"/>
          <w:sz w:val="24"/>
        </w:rPr>
      </w:pPr>
    </w:p>
    <w:p>
      <w:pPr>
        <w:snapToGrid w:val="0"/>
        <w:spacing w:line="360" w:lineRule="auto"/>
        <w:jc w:val="center"/>
        <w:rPr>
          <w:rFonts w:ascii="仿宋_GB2312" w:hAnsi="微软雅黑" w:eastAsia="仿宋_GB2312" w:cs="Arial"/>
          <w:b/>
          <w:bCs/>
          <w:sz w:val="24"/>
        </w:rPr>
      </w:pPr>
      <w:r>
        <w:rPr>
          <w:rFonts w:ascii="仿宋_GB2312" w:hAnsi="仿宋_GB2312" w:eastAsia="仿宋_GB2312" w:cs="仿宋_GB2312"/>
          <w:b/>
          <w:bCs/>
          <w:sz w:val="24"/>
        </w:rPr>
        <w:drawing>
          <wp:anchor distT="0" distB="0" distL="114300" distR="114300" simplePos="0" relativeHeight="251660288" behindDoc="0" locked="0" layoutInCell="1" allowOverlap="1">
            <wp:simplePos x="0" y="0"/>
            <wp:positionH relativeFrom="column">
              <wp:posOffset>-28575</wp:posOffset>
            </wp:positionH>
            <wp:positionV relativeFrom="paragraph">
              <wp:posOffset>130175</wp:posOffset>
            </wp:positionV>
            <wp:extent cx="5608320" cy="3286760"/>
            <wp:effectExtent l="0" t="0" r="11430" b="889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608320" cy="3286760"/>
                    </a:xfrm>
                    <a:prstGeom prst="rect">
                      <a:avLst/>
                    </a:prstGeom>
                    <a:noFill/>
                  </pic:spPr>
                </pic:pic>
              </a:graphicData>
            </a:graphic>
          </wp:anchor>
        </w:drawing>
      </w:r>
      <w:r>
        <w:rPr>
          <w:rFonts w:hint="eastAsia" w:ascii="仿宋_GB2312" w:hAnsi="仿宋_GB2312" w:eastAsia="仿宋_GB2312" w:cs="仿宋_GB2312"/>
          <w:b/>
          <w:bCs/>
          <w:sz w:val="24"/>
        </w:rPr>
        <w:t>（系统录入界面）</w:t>
      </w:r>
    </w:p>
    <w:p>
      <w:pPr>
        <w:spacing w:line="360" w:lineRule="auto"/>
        <w:ind w:firstLine="482" w:firstLineChars="200"/>
        <w:rPr>
          <w:rFonts w:ascii="仿宋_GB2312" w:hAnsi="微软雅黑" w:eastAsia="仿宋_GB2312" w:cs="Arial"/>
          <w:b/>
          <w:bCs/>
          <w:sz w:val="24"/>
        </w:rPr>
      </w:pPr>
      <w:r>
        <w:rPr>
          <w:rFonts w:hint="eastAsia" w:ascii="仿宋_GB2312" w:hAnsi="微软雅黑" w:eastAsia="仿宋_GB2312" w:cs="Arial"/>
          <w:b/>
          <w:bCs/>
          <w:sz w:val="24"/>
        </w:rPr>
        <w:t>任务2：字符录入</w:t>
      </w:r>
    </w:p>
    <w:p>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赛题为系统随机产生的1600个字符，系统提供对照原文进行字符输入的环境，系统自动根据选手在规定的时间内（10分钟）完成的数量和正确率评分。</w:t>
      </w:r>
    </w:p>
    <w:p>
      <w:pPr>
        <w:spacing w:line="360" w:lineRule="auto"/>
        <w:ind w:firstLine="480" w:firstLineChars="200"/>
        <w:rPr>
          <w:rFonts w:ascii="仿宋_GB2312" w:hAnsi="仿宋_GB2312" w:eastAsia="仿宋_GB2312" w:cs="仿宋_GB2312"/>
          <w:sz w:val="24"/>
        </w:rPr>
      </w:pPr>
      <w:r>
        <w:rPr>
          <w:rFonts w:hint="eastAsia" w:ascii="仿宋_GB2312" w:eastAsia="仿宋_GB2312"/>
          <w:sz w:val="24"/>
        </w:rPr>
        <w:t>竞赛电脑系统中预装极品五笔、王码五笔、搜狗输入法</w:t>
      </w:r>
      <w:r>
        <w:rPr>
          <w:rFonts w:hint="eastAsia" w:ascii="Arial" w:hAnsi="Arial" w:cs="Arial"/>
          <w:sz w:val="24"/>
          <w:shd w:val="clear" w:color="auto" w:fill="FFFFFF"/>
        </w:rPr>
        <w:t>、</w:t>
      </w:r>
      <w:r>
        <w:rPr>
          <w:rFonts w:hint="eastAsia" w:ascii="仿宋_GB2312" w:eastAsia="仿宋_GB2312"/>
          <w:sz w:val="24"/>
        </w:rPr>
        <w:t>智能</w:t>
      </w:r>
      <w:r>
        <w:rPr>
          <w:rFonts w:ascii="仿宋_GB2312" w:eastAsia="仿宋_GB2312"/>
          <w:sz w:val="24"/>
        </w:rPr>
        <w:t>ABC</w:t>
      </w:r>
      <w:r>
        <w:rPr>
          <w:rFonts w:hint="eastAsia" w:ascii="仿宋_GB2312" w:eastAsia="仿宋_GB2312"/>
          <w:sz w:val="24"/>
        </w:rPr>
        <w:t>、微软全拼输入法、万能五笔等，</w:t>
      </w:r>
      <w:r>
        <w:rPr>
          <w:rFonts w:hint="eastAsia" w:ascii="仿宋_GB2312" w:hAnsi="仿宋_GB2312" w:eastAsia="仿宋_GB2312" w:cs="仿宋_GB2312"/>
          <w:sz w:val="24"/>
        </w:rPr>
        <w:t>参赛选手可采用上述输入法进行比赛</w:t>
      </w:r>
      <w:r>
        <w:rPr>
          <w:rFonts w:hint="eastAsia" w:ascii="仿宋_GB2312" w:eastAsia="仿宋_GB2312"/>
          <w:sz w:val="24"/>
        </w:rPr>
        <w:t>，竞赛电脑系统中未预装的输入法不得采用。</w:t>
      </w:r>
    </w:p>
    <w:p>
      <w:pPr>
        <w:widowControl/>
        <w:spacing w:line="360" w:lineRule="auto"/>
        <w:jc w:val="center"/>
        <w:rPr>
          <w:sz w:val="30"/>
          <w:szCs w:val="30"/>
        </w:rPr>
      </w:pPr>
      <w:r>
        <w:rPr>
          <w:rFonts w:ascii="宋体" w:hAnsi="宋体" w:eastAsia="宋体" w:cs="宋体"/>
          <w:kern w:val="0"/>
          <w:sz w:val="30"/>
          <w:szCs w:val="30"/>
        </w:rPr>
        <w:drawing>
          <wp:inline distT="0" distB="0" distL="114300" distR="114300">
            <wp:extent cx="5440045" cy="2705735"/>
            <wp:effectExtent l="0" t="0" r="8255" b="18415"/>
            <wp:docPr id="2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IMG_256"/>
                    <pic:cNvPicPr>
                      <a:picLocks noChangeAspect="1"/>
                    </pic:cNvPicPr>
                  </pic:nvPicPr>
                  <pic:blipFill>
                    <a:blip r:embed="rId8"/>
                    <a:stretch>
                      <a:fillRect/>
                    </a:stretch>
                  </pic:blipFill>
                  <pic:spPr>
                    <a:xfrm>
                      <a:off x="0" y="0"/>
                      <a:ext cx="5440045" cy="2705735"/>
                    </a:xfrm>
                    <a:prstGeom prst="rect">
                      <a:avLst/>
                    </a:prstGeom>
                    <a:noFill/>
                    <a:ln w="9525">
                      <a:noFill/>
                    </a:ln>
                  </pic:spPr>
                </pic:pic>
              </a:graphicData>
            </a:graphic>
          </wp:inline>
        </w:drawing>
      </w:r>
    </w:p>
    <w:p>
      <w:pPr>
        <w:widowControl/>
        <w:spacing w:line="360" w:lineRule="auto"/>
        <w:ind w:firstLine="600"/>
        <w:jc w:val="left"/>
        <w:rPr>
          <w:rFonts w:ascii="仿宋_GB2312" w:hAnsi="仿宋_GB2312" w:eastAsia="仿宋_GB2312" w:cs="仿宋_GB2312"/>
          <w:kern w:val="0"/>
          <w:sz w:val="24"/>
        </w:rPr>
      </w:pPr>
      <w:r>
        <w:rPr>
          <w:rFonts w:hint="eastAsia" w:ascii="仿宋_GB2312" w:hAnsi="微软雅黑" w:eastAsia="仿宋_GB2312" w:cs="Arial"/>
          <w:b/>
          <w:bCs/>
          <w:sz w:val="24"/>
        </w:rPr>
        <w:t>任务3：手工点钞</w:t>
      </w:r>
      <w:r>
        <w:rPr>
          <w:rFonts w:hint="eastAsia" w:ascii="仿宋_GB2312" w:hAnsi="微软雅黑" w:eastAsia="仿宋_GB2312" w:cs="Arial"/>
          <w:sz w:val="24"/>
        </w:rPr>
        <w:t> </w:t>
      </w:r>
    </w:p>
    <w:p>
      <w:pPr>
        <w:widowControl/>
        <w:spacing w:line="360" w:lineRule="auto"/>
        <w:ind w:firstLine="555"/>
        <w:jc w:val="left"/>
        <w:rPr>
          <w:rFonts w:ascii="仿宋_GB2312" w:hAnsi="仿宋_GB2312" w:eastAsia="仿宋_GB2312" w:cs="仿宋_GB2312"/>
          <w:sz w:val="24"/>
        </w:rPr>
      </w:pPr>
      <w:r>
        <w:rPr>
          <w:rFonts w:hint="eastAsia" w:ascii="仿宋_GB2312" w:hAnsi="仿宋_GB2312" w:eastAsia="仿宋_GB2312" w:cs="仿宋_GB2312"/>
          <w:sz w:val="24"/>
        </w:rPr>
        <w:t>赛前由命题专家确定每种面额点钞专用券的张数，每种面值介于300—320张之间，现场对8种面额的人民币点钞专用券进行清点。技术人员将清点的张数和对应的金额输入竞赛平台系统中。参赛选手在比赛时将清点结果填入系统设定的“现金存款凭条”，系统对输入结果自动评分，现场裁判对捆扎及盖章质量人工评分。本项目竞赛时间为10分钟。</w:t>
      </w:r>
    </w:p>
    <w:p>
      <w:pPr>
        <w:widowControl/>
        <w:spacing w:line="360" w:lineRule="auto"/>
        <w:jc w:val="left"/>
        <w:rPr>
          <w:rFonts w:ascii="仿宋_GB2312" w:hAnsi="仿宋_GB2312" w:eastAsia="仿宋_GB2312" w:cs="仿宋_GB2312"/>
          <w:sz w:val="24"/>
        </w:rPr>
      </w:pPr>
      <w:r>
        <w:rPr>
          <w:rFonts w:hint="eastAsia" w:ascii="仿宋_GB2312" w:hAnsi="仿宋_GB2312" w:eastAsia="仿宋_GB2312" w:cs="仿宋_GB2312"/>
          <w:b/>
          <w:sz w:val="24"/>
        </w:rPr>
        <w:drawing>
          <wp:anchor distT="0" distB="0" distL="114300" distR="114300" simplePos="0" relativeHeight="251659264" behindDoc="0" locked="0" layoutInCell="1" allowOverlap="1">
            <wp:simplePos x="0" y="0"/>
            <wp:positionH relativeFrom="column">
              <wp:posOffset>226695</wp:posOffset>
            </wp:positionH>
            <wp:positionV relativeFrom="paragraph">
              <wp:posOffset>114300</wp:posOffset>
            </wp:positionV>
            <wp:extent cx="4663440" cy="2650490"/>
            <wp:effectExtent l="0" t="0" r="3810" b="1651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4663440" cy="2650490"/>
                    </a:xfrm>
                    <a:prstGeom prst="rect">
                      <a:avLst/>
                    </a:prstGeom>
                    <a:noFill/>
                    <a:ln w="9525">
                      <a:noFill/>
                    </a:ln>
                  </pic:spPr>
                </pic:pic>
              </a:graphicData>
            </a:graphic>
          </wp:anchor>
        </w:drawing>
      </w:r>
    </w:p>
    <w:p>
      <w:pPr>
        <w:widowControl/>
        <w:spacing w:line="360" w:lineRule="auto"/>
        <w:jc w:val="left"/>
        <w:rPr>
          <w:rFonts w:ascii="仿宋_GB2312" w:hAnsi="仿宋_GB2312" w:eastAsia="仿宋_GB2312" w:cs="仿宋_GB2312"/>
          <w:sz w:val="28"/>
          <w:szCs w:val="28"/>
        </w:rPr>
      </w:pPr>
    </w:p>
    <w:p>
      <w:pPr>
        <w:widowControl/>
        <w:spacing w:line="360" w:lineRule="auto"/>
        <w:jc w:val="left"/>
        <w:rPr>
          <w:rFonts w:ascii="仿宋_GB2312" w:hAnsi="仿宋_GB2312" w:eastAsia="仿宋_GB2312" w:cs="仿宋_GB2312"/>
          <w:sz w:val="28"/>
          <w:szCs w:val="28"/>
        </w:rPr>
      </w:pPr>
    </w:p>
    <w:p>
      <w:pPr>
        <w:widowControl/>
        <w:spacing w:line="360" w:lineRule="auto"/>
        <w:jc w:val="left"/>
        <w:rPr>
          <w:rFonts w:ascii="仿宋_GB2312" w:hAnsi="仿宋_GB2312" w:eastAsia="仿宋_GB2312" w:cs="仿宋_GB2312"/>
          <w:sz w:val="28"/>
          <w:szCs w:val="28"/>
        </w:rPr>
      </w:pPr>
    </w:p>
    <w:p>
      <w:pPr>
        <w:widowControl/>
        <w:spacing w:line="360" w:lineRule="auto"/>
        <w:jc w:val="left"/>
        <w:rPr>
          <w:rFonts w:ascii="仿宋_GB2312" w:hAnsi="仿宋_GB2312" w:eastAsia="仿宋_GB2312" w:cs="仿宋_GB2312"/>
          <w:sz w:val="28"/>
          <w:szCs w:val="28"/>
        </w:rPr>
      </w:pPr>
    </w:p>
    <w:p>
      <w:pPr>
        <w:widowControl/>
        <w:spacing w:line="360" w:lineRule="auto"/>
        <w:jc w:val="left"/>
        <w:rPr>
          <w:rFonts w:ascii="仿宋_GB2312" w:hAnsi="仿宋_GB2312" w:eastAsia="仿宋_GB2312" w:cs="仿宋_GB2312"/>
          <w:sz w:val="28"/>
          <w:szCs w:val="28"/>
        </w:rPr>
      </w:pPr>
    </w:p>
    <w:p>
      <w:pPr>
        <w:snapToGrid w:val="0"/>
        <w:spacing w:line="360" w:lineRule="auto"/>
        <w:rPr>
          <w:rFonts w:ascii="仿宋_GB2312" w:hAnsi="仿宋_GB2312" w:eastAsia="仿宋_GB2312" w:cs="仿宋_GB2312"/>
          <w:b/>
          <w:bCs/>
          <w:sz w:val="28"/>
          <w:szCs w:val="28"/>
        </w:rPr>
      </w:pPr>
    </w:p>
    <w:p>
      <w:pPr>
        <w:widowControl/>
        <w:spacing w:line="360" w:lineRule="auto"/>
        <w:ind w:firstLine="482" w:firstLineChars="200"/>
        <w:jc w:val="center"/>
        <w:rPr>
          <w:rFonts w:ascii="仿宋_GB2312" w:hAnsi="仿宋_GB2312" w:eastAsia="仿宋_GB2312" w:cs="仿宋_GB2312"/>
          <w:b/>
          <w:bCs/>
          <w:sz w:val="24"/>
        </w:rPr>
      </w:pPr>
      <w:r>
        <w:rPr>
          <w:rFonts w:hint="eastAsia" w:ascii="仿宋_GB2312" w:hAnsi="仿宋_GB2312" w:eastAsia="仿宋_GB2312" w:cs="仿宋_GB2312"/>
          <w:b/>
          <w:bCs/>
          <w:sz w:val="24"/>
        </w:rPr>
        <w:t>（系统录入界面）</w:t>
      </w:r>
    </w:p>
    <w:p>
      <w:pPr>
        <w:widowControl/>
        <w:spacing w:line="360" w:lineRule="auto"/>
        <w:ind w:firstLine="482" w:firstLineChars="200"/>
        <w:jc w:val="left"/>
        <w:rPr>
          <w:rFonts w:ascii="仿宋_GB2312" w:hAnsi="Arial Narrow" w:eastAsia="仿宋_GB2312" w:cs="Arial"/>
          <w:b/>
          <w:bCs/>
          <w:sz w:val="24"/>
        </w:rPr>
      </w:pPr>
      <w:r>
        <w:rPr>
          <w:rFonts w:hint="eastAsia" w:ascii="宋体" w:hAnsi="宋体" w:cs="Arial"/>
          <w:b/>
          <w:bCs/>
          <w:color w:val="FF0000"/>
          <w:sz w:val="24"/>
          <w:highlight w:val="yellow"/>
        </w:rPr>
        <w:t>请注意：本次比赛点钞项目不提供计算器。另，点完的所有钞票必须全部放入现场提供的小框内，否则该单项不得分。</w:t>
      </w:r>
    </w:p>
    <w:p>
      <w:pPr>
        <w:widowControl/>
        <w:spacing w:line="360" w:lineRule="auto"/>
        <w:ind w:firstLine="482" w:firstLineChars="200"/>
        <w:jc w:val="left"/>
        <w:rPr>
          <w:rFonts w:ascii="仿宋_GB2312" w:hAnsi="Arial Narrow" w:eastAsia="仿宋_GB2312" w:cs="Arial"/>
          <w:b/>
          <w:bCs/>
          <w:sz w:val="24"/>
        </w:rPr>
      </w:pPr>
      <w:r>
        <w:rPr>
          <w:rFonts w:hint="eastAsia" w:ascii="仿宋_GB2312" w:hAnsi="Arial Narrow" w:eastAsia="仿宋_GB2312" w:cs="Arial"/>
          <w:b/>
          <w:bCs/>
          <w:sz w:val="24"/>
        </w:rPr>
        <w:t>任务4：货币防伪与鉴别</w:t>
      </w:r>
    </w:p>
    <w:p>
      <w:pPr>
        <w:widowControl/>
        <w:spacing w:line="360" w:lineRule="auto"/>
        <w:ind w:firstLine="480" w:firstLineChars="200"/>
        <w:jc w:val="left"/>
        <w:rPr>
          <w:rFonts w:ascii="仿宋_GB2312" w:hAnsi="Arial Narrow" w:eastAsia="仿宋_GB2312" w:cs="Arial"/>
          <w:sz w:val="24"/>
        </w:rPr>
      </w:pPr>
      <w:r>
        <w:rPr>
          <w:rFonts w:ascii="仿宋_GB2312" w:hAnsi="Arial Narrow" w:eastAsia="仿宋_GB2312" w:cs="Arial"/>
          <w:sz w:val="24"/>
        </w:rPr>
        <w:t>1</w:t>
      </w:r>
      <w:r>
        <w:rPr>
          <w:rFonts w:hint="eastAsia" w:ascii="仿宋_GB2312" w:hAnsi="Arial Narrow" w:eastAsia="仿宋_GB2312" w:cs="Arial"/>
          <w:sz w:val="24"/>
        </w:rPr>
        <w:t>.（单选）第五套人民币2005年版纸币在正面主景图案右侧增加了公众防伪特征（  ）。</w:t>
      </w:r>
    </w:p>
    <w:p>
      <w:pPr>
        <w:spacing w:line="360" w:lineRule="auto"/>
        <w:ind w:firstLine="480" w:firstLineChars="200"/>
        <w:rPr>
          <w:rFonts w:ascii="仿宋_GB2312" w:hAnsi="Arial Narrow" w:eastAsia="仿宋_GB2312" w:cs="Arial"/>
          <w:sz w:val="24"/>
        </w:rPr>
      </w:pPr>
      <w:r>
        <w:rPr>
          <w:rFonts w:hint="eastAsia" w:ascii="仿宋_GB2312" w:hAnsi="Arial Narrow" w:eastAsia="仿宋_GB2312" w:cs="Arial"/>
          <w:sz w:val="24"/>
        </w:rPr>
        <w:t>A．</w:t>
      </w:r>
      <w:r>
        <w:rPr>
          <w:rFonts w:ascii="仿宋_GB2312" w:hAnsi="Arial Narrow" w:eastAsia="仿宋_GB2312" w:cs="Arial"/>
          <w:sz w:val="24"/>
        </w:rPr>
        <w:drawing>
          <wp:inline distT="0" distB="0" distL="114300" distR="114300">
            <wp:extent cx="723900" cy="72390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0"/>
                    <a:stretch>
                      <a:fillRect/>
                    </a:stretch>
                  </pic:blipFill>
                  <pic:spPr>
                    <a:xfrm>
                      <a:off x="0" y="0"/>
                      <a:ext cx="723900" cy="723900"/>
                    </a:xfrm>
                    <a:prstGeom prst="rect">
                      <a:avLst/>
                    </a:prstGeom>
                    <a:noFill/>
                    <a:ln w="9525">
                      <a:noFill/>
                    </a:ln>
                  </pic:spPr>
                </pic:pic>
              </a:graphicData>
            </a:graphic>
          </wp:inline>
        </w:drawing>
      </w:r>
      <w:r>
        <w:rPr>
          <w:rFonts w:hint="eastAsia" w:ascii="仿宋_GB2312" w:hAnsi="Arial Narrow" w:eastAsia="仿宋_GB2312" w:cs="Arial"/>
          <w:sz w:val="24"/>
        </w:rPr>
        <w:t xml:space="preserve">       B.</w:t>
      </w:r>
      <w:r>
        <w:rPr>
          <w:rFonts w:ascii="仿宋_GB2312" w:hAnsi="Arial Narrow" w:eastAsia="仿宋_GB2312" w:cs="Arial"/>
          <w:sz w:val="24"/>
        </w:rPr>
        <w:drawing>
          <wp:inline distT="0" distB="0" distL="114300" distR="114300">
            <wp:extent cx="723900" cy="723900"/>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1"/>
                    <a:stretch>
                      <a:fillRect/>
                    </a:stretch>
                  </pic:blipFill>
                  <pic:spPr>
                    <a:xfrm>
                      <a:off x="0" y="0"/>
                      <a:ext cx="723900" cy="723900"/>
                    </a:xfrm>
                    <a:prstGeom prst="rect">
                      <a:avLst/>
                    </a:prstGeom>
                    <a:noFill/>
                    <a:ln w="9525">
                      <a:noFill/>
                    </a:ln>
                  </pic:spPr>
                </pic:pic>
              </a:graphicData>
            </a:graphic>
          </wp:inline>
        </w:drawing>
      </w:r>
      <w:r>
        <w:rPr>
          <w:rFonts w:hint="eastAsia" w:ascii="仿宋_GB2312" w:hAnsi="Arial Narrow" w:eastAsia="仿宋_GB2312" w:cs="Arial"/>
          <w:sz w:val="24"/>
        </w:rPr>
        <w:t xml:space="preserve">       C.</w:t>
      </w:r>
      <w:r>
        <w:rPr>
          <w:rFonts w:ascii="仿宋_GB2312" w:hAnsi="Arial Narrow" w:eastAsia="仿宋_GB2312" w:cs="Arial"/>
          <w:sz w:val="24"/>
        </w:rPr>
        <w:drawing>
          <wp:inline distT="0" distB="0" distL="114300" distR="114300">
            <wp:extent cx="723900" cy="723900"/>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2"/>
                    <a:stretch>
                      <a:fillRect/>
                    </a:stretch>
                  </pic:blipFill>
                  <pic:spPr>
                    <a:xfrm>
                      <a:off x="0" y="0"/>
                      <a:ext cx="723900" cy="723900"/>
                    </a:xfrm>
                    <a:prstGeom prst="rect">
                      <a:avLst/>
                    </a:prstGeom>
                    <a:noFill/>
                    <a:ln w="9525">
                      <a:noFill/>
                    </a:ln>
                  </pic:spPr>
                </pic:pic>
              </a:graphicData>
            </a:graphic>
          </wp:inline>
        </w:drawing>
      </w:r>
    </w:p>
    <w:p>
      <w:pPr>
        <w:spacing w:line="360" w:lineRule="auto"/>
        <w:ind w:firstLine="480" w:firstLineChars="200"/>
        <w:rPr>
          <w:rFonts w:ascii="仿宋_GB2312" w:hAnsi="Arial Narrow" w:eastAsia="仿宋_GB2312" w:cs="Arial"/>
          <w:sz w:val="24"/>
        </w:rPr>
      </w:pPr>
      <w:r>
        <w:rPr>
          <w:rFonts w:hint="eastAsia" w:ascii="仿宋_GB2312" w:hAnsi="Arial Narrow" w:eastAsia="仿宋_GB2312" w:cs="Arial"/>
          <w:sz w:val="24"/>
        </w:rPr>
        <w:t>2.（</w:t>
      </w:r>
      <w:r>
        <w:rPr>
          <w:rFonts w:ascii="仿宋_GB2312" w:hAnsi="Arial Narrow" w:eastAsia="仿宋_GB2312" w:cs="Arial"/>
          <w:sz w:val="24"/>
        </w:rPr>
        <w:t>判断</w:t>
      </w:r>
      <w:r>
        <w:rPr>
          <w:rFonts w:hint="eastAsia" w:ascii="仿宋_GB2312" w:hAnsi="Arial Narrow" w:eastAsia="仿宋_GB2312" w:cs="Arial"/>
          <w:sz w:val="24"/>
        </w:rPr>
        <w:t>）第五套人民币各面额纸币正面行名下方胶印底纹处，在特定波长的紫外光下可以看到该券别面额数字，该图案采用了无色荧光油墨印刷，可供机读。</w:t>
      </w:r>
      <w:r>
        <w:rPr>
          <w:rFonts w:ascii="仿宋_GB2312" w:hAnsi="Arial Narrow" w:eastAsia="仿宋_GB2312" w:cs="Arial"/>
          <w:sz w:val="24"/>
        </w:rPr>
        <w:t>（    ）</w:t>
      </w:r>
    </w:p>
    <w:p>
      <w:pPr>
        <w:spacing w:line="360" w:lineRule="auto"/>
        <w:ind w:firstLine="480" w:firstLineChars="200"/>
        <w:rPr>
          <w:rFonts w:ascii="仿宋_GB2312" w:hAnsi="Arial Narrow" w:eastAsia="仿宋_GB2312" w:cs="Arial"/>
          <w:sz w:val="24"/>
        </w:rPr>
      </w:pPr>
      <w:r>
        <w:rPr>
          <w:rFonts w:ascii="仿宋_GB2312" w:hAnsi="Arial Narrow" w:eastAsia="仿宋_GB2312" w:cs="Arial"/>
          <w:sz w:val="24"/>
        </w:rPr>
        <w:t>A.</w:t>
      </w:r>
      <w:r>
        <w:rPr>
          <w:rFonts w:hint="eastAsia" w:ascii="仿宋_GB2312" w:hAnsi="Arial Narrow" w:eastAsia="仿宋_GB2312" w:cs="Arial"/>
          <w:sz w:val="24"/>
        </w:rPr>
        <w:t>正确</w:t>
      </w:r>
    </w:p>
    <w:p>
      <w:pPr>
        <w:spacing w:line="360" w:lineRule="auto"/>
        <w:ind w:firstLine="480" w:firstLineChars="200"/>
        <w:rPr>
          <w:rFonts w:ascii="仿宋_GB2312" w:hAnsi="Arial Narrow" w:eastAsia="仿宋_GB2312" w:cs="Arial"/>
          <w:sz w:val="24"/>
        </w:rPr>
      </w:pPr>
      <w:r>
        <w:rPr>
          <w:rFonts w:ascii="仿宋_GB2312" w:hAnsi="Arial Narrow" w:eastAsia="仿宋_GB2312" w:cs="Arial"/>
          <w:sz w:val="24"/>
        </w:rPr>
        <w:t>B.</w:t>
      </w:r>
      <w:r>
        <w:rPr>
          <w:rFonts w:hint="eastAsia" w:ascii="仿宋_GB2312" w:hAnsi="Arial Narrow" w:eastAsia="仿宋_GB2312" w:cs="Arial"/>
          <w:sz w:val="24"/>
        </w:rPr>
        <w:t>错误</w:t>
      </w:r>
    </w:p>
    <w:p>
      <w:pPr>
        <w:spacing w:line="360" w:lineRule="auto"/>
        <w:ind w:firstLine="480" w:firstLineChars="200"/>
        <w:rPr>
          <w:rFonts w:ascii="仿宋_GB2312" w:hAnsi="Arial Narrow" w:eastAsia="仿宋_GB2312" w:cs="Arial"/>
          <w:sz w:val="24"/>
        </w:rPr>
      </w:pPr>
      <w:r>
        <w:rPr>
          <w:rFonts w:hint="eastAsia" w:ascii="仿宋_GB2312" w:hAnsi="Arial Narrow" w:eastAsia="仿宋_GB2312" w:cs="Arial"/>
          <w:sz w:val="24"/>
        </w:rPr>
        <w:t>3.（</w:t>
      </w:r>
      <w:r>
        <w:rPr>
          <w:rFonts w:ascii="仿宋_GB2312" w:hAnsi="Arial Narrow" w:eastAsia="仿宋_GB2312" w:cs="Arial"/>
          <w:sz w:val="24"/>
        </w:rPr>
        <w:t>多选</w:t>
      </w:r>
      <w:r>
        <w:rPr>
          <w:rFonts w:hint="eastAsia" w:ascii="仿宋_GB2312" w:hAnsi="Arial Narrow" w:eastAsia="仿宋_GB2312" w:cs="Arial"/>
          <w:sz w:val="24"/>
        </w:rPr>
        <w:t>）第五套人民币的水印图案有</w:t>
      </w:r>
      <w:r>
        <w:rPr>
          <w:rFonts w:ascii="仿宋_GB2312" w:hAnsi="Arial Narrow" w:eastAsia="仿宋_GB2312" w:cs="Arial"/>
          <w:sz w:val="24"/>
        </w:rPr>
        <w:t>（    ）</w:t>
      </w:r>
      <w:r>
        <w:rPr>
          <w:rFonts w:hint="eastAsia" w:ascii="仿宋_GB2312" w:hAnsi="Arial Narrow" w:eastAsia="仿宋_GB2312" w:cs="Arial"/>
          <w:sz w:val="24"/>
        </w:rPr>
        <w:t>。</w:t>
      </w:r>
    </w:p>
    <w:p>
      <w:pPr>
        <w:spacing w:line="360" w:lineRule="auto"/>
        <w:ind w:firstLine="480" w:firstLineChars="200"/>
        <w:rPr>
          <w:rFonts w:ascii="仿宋_GB2312" w:hAnsi="Arial Narrow" w:eastAsia="仿宋_GB2312" w:cs="Arial"/>
          <w:sz w:val="24"/>
        </w:rPr>
      </w:pPr>
      <w:r>
        <w:rPr>
          <w:rFonts w:ascii="仿宋_GB2312" w:hAnsi="Arial Narrow" w:eastAsia="仿宋_GB2312" w:cs="Arial"/>
          <w:sz w:val="24"/>
        </w:rPr>
        <w:t>A.</w:t>
      </w:r>
      <w:r>
        <w:rPr>
          <w:rFonts w:hint="eastAsia" w:ascii="仿宋_GB2312" w:hAnsi="Arial Narrow" w:eastAsia="仿宋_GB2312" w:cs="Arial"/>
          <w:sz w:val="24"/>
        </w:rPr>
        <w:t>毛泽东头像</w:t>
      </w:r>
    </w:p>
    <w:p>
      <w:pPr>
        <w:spacing w:line="360" w:lineRule="auto"/>
        <w:ind w:firstLine="480" w:firstLineChars="200"/>
        <w:rPr>
          <w:rFonts w:ascii="仿宋_GB2312" w:hAnsi="Arial Narrow" w:eastAsia="仿宋_GB2312" w:cs="Arial"/>
          <w:sz w:val="24"/>
        </w:rPr>
      </w:pPr>
      <w:r>
        <w:rPr>
          <w:rFonts w:ascii="仿宋_GB2312" w:hAnsi="Arial Narrow" w:eastAsia="仿宋_GB2312" w:cs="Arial"/>
          <w:sz w:val="24"/>
        </w:rPr>
        <w:t>B.</w:t>
      </w:r>
      <w:r>
        <w:rPr>
          <w:rFonts w:hint="eastAsia" w:ascii="仿宋_GB2312" w:hAnsi="Arial Narrow" w:eastAsia="仿宋_GB2312" w:cs="Arial"/>
          <w:sz w:val="24"/>
        </w:rPr>
        <w:t>工人头像</w:t>
      </w:r>
    </w:p>
    <w:p>
      <w:pPr>
        <w:spacing w:line="360" w:lineRule="auto"/>
        <w:ind w:firstLine="480" w:firstLineChars="200"/>
        <w:rPr>
          <w:rFonts w:ascii="仿宋_GB2312" w:hAnsi="Arial Narrow" w:eastAsia="仿宋_GB2312" w:cs="Arial"/>
          <w:sz w:val="24"/>
        </w:rPr>
      </w:pPr>
      <w:r>
        <w:rPr>
          <w:rFonts w:ascii="仿宋_GB2312" w:hAnsi="Arial Narrow" w:eastAsia="仿宋_GB2312" w:cs="Arial"/>
          <w:sz w:val="24"/>
        </w:rPr>
        <w:t>C.</w:t>
      </w:r>
      <w:r>
        <w:rPr>
          <w:rFonts w:hint="eastAsia" w:ascii="仿宋_GB2312" w:hAnsi="Arial Narrow" w:eastAsia="仿宋_GB2312" w:cs="Arial"/>
          <w:sz w:val="24"/>
        </w:rPr>
        <w:t>天安门</w:t>
      </w:r>
    </w:p>
    <w:p>
      <w:pPr>
        <w:spacing w:line="360" w:lineRule="auto"/>
        <w:ind w:firstLine="480" w:firstLineChars="200"/>
        <w:rPr>
          <w:rFonts w:ascii="仿宋_GB2312" w:hAnsi="Arial Narrow" w:eastAsia="仿宋_GB2312" w:cs="Arial"/>
          <w:sz w:val="24"/>
        </w:rPr>
      </w:pPr>
      <w:r>
        <w:rPr>
          <w:rFonts w:ascii="仿宋_GB2312" w:hAnsi="Arial Narrow" w:eastAsia="仿宋_GB2312" w:cs="Arial"/>
          <w:sz w:val="24"/>
        </w:rPr>
        <w:t>D.</w:t>
      </w:r>
      <w:r>
        <w:rPr>
          <w:rFonts w:hint="eastAsia" w:ascii="仿宋_GB2312" w:hAnsi="Arial Narrow" w:eastAsia="仿宋_GB2312" w:cs="Arial"/>
          <w:sz w:val="24"/>
        </w:rPr>
        <w:t>水仙花</w:t>
      </w:r>
    </w:p>
    <w:p>
      <w:pPr>
        <w:spacing w:line="360" w:lineRule="auto"/>
        <w:ind w:firstLine="480" w:firstLineChars="200"/>
        <w:rPr>
          <w:rFonts w:ascii="仿宋_GB2312" w:hAnsi="Arial Narrow" w:eastAsia="仿宋_GB2312" w:cs="Arial"/>
          <w:sz w:val="24"/>
        </w:rPr>
      </w:pPr>
      <w:r>
        <w:rPr>
          <w:rFonts w:hint="eastAsia" w:ascii="仿宋_GB2312" w:hAnsi="Arial Narrow" w:eastAsia="仿宋_GB2312" w:cs="Arial"/>
          <w:sz w:val="24"/>
        </w:rPr>
        <w:t>（</w:t>
      </w:r>
      <w:r>
        <w:rPr>
          <w:rFonts w:ascii="仿宋_GB2312" w:hAnsi="Arial Narrow" w:eastAsia="仿宋_GB2312" w:cs="Arial"/>
          <w:sz w:val="24"/>
        </w:rPr>
        <w:t>实务题</w:t>
      </w:r>
      <w:r>
        <w:rPr>
          <w:rFonts w:hint="eastAsia" w:ascii="仿宋_GB2312" w:hAnsi="Arial Narrow" w:eastAsia="仿宋_GB2312" w:cs="Arial"/>
          <w:sz w:val="24"/>
        </w:rPr>
        <w:t>）下图为2015年版第五套人民币100元纸币，共有7个防伪特征，分别是：①雕刻凹凸 ②横竖双号码 ③光变镂空开窗安全线 ④人像水印 ⑤胶印对印图案 ⑥光彩光变数字 ⑦白水印。根据图片标识的数字，选择与之对应的防伪特征排列顺序（ ）。</w:t>
      </w:r>
    </w:p>
    <w:p>
      <w:pPr>
        <w:spacing w:line="360" w:lineRule="auto"/>
        <w:jc w:val="center"/>
        <w:rPr>
          <w:rFonts w:ascii="仿宋" w:hAnsi="仿宋" w:eastAsia="仿宋" w:cs="仿宋"/>
          <w:sz w:val="28"/>
          <w:szCs w:val="28"/>
        </w:rPr>
      </w:pPr>
      <w:r>
        <w:rPr>
          <w:rFonts w:ascii="仿宋" w:hAnsi="仿宋" w:eastAsia="仿宋" w:cs="仿宋"/>
          <w:sz w:val="28"/>
          <w:szCs w:val="28"/>
        </w:rPr>
        <w:drawing>
          <wp:inline distT="0" distB="0" distL="0" distR="0">
            <wp:extent cx="4733925" cy="2215515"/>
            <wp:effectExtent l="0" t="0" r="9525" b="13335"/>
            <wp:docPr id="56" name="图片 56" descr="http://192.168.5.141:8001/../TempImageFiles/txtTitle/20170529165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http://192.168.5.141:8001/../TempImageFiles/txtTitle/20170529165733.png"/>
                    <pic:cNvPicPr>
                      <a:picLocks noChangeAspect="1" noChangeArrowheads="1"/>
                    </pic:cNvPicPr>
                  </pic:nvPicPr>
                  <pic:blipFill>
                    <a:blip r:embed="rId13"/>
                    <a:srcRect/>
                    <a:stretch>
                      <a:fillRect/>
                    </a:stretch>
                  </pic:blipFill>
                  <pic:spPr>
                    <a:xfrm>
                      <a:off x="0" y="0"/>
                      <a:ext cx="4736914" cy="2216852"/>
                    </a:xfrm>
                    <a:prstGeom prst="rect">
                      <a:avLst/>
                    </a:prstGeom>
                    <a:noFill/>
                    <a:ln w="9525">
                      <a:noFill/>
                      <a:miter lim="800000"/>
                      <a:headEnd/>
                      <a:tailEnd/>
                    </a:ln>
                  </pic:spPr>
                </pic:pic>
              </a:graphicData>
            </a:graphic>
          </wp:inline>
        </w:drawing>
      </w:r>
    </w:p>
    <w:p>
      <w:pPr>
        <w:spacing w:line="360" w:lineRule="auto"/>
        <w:jc w:val="center"/>
        <w:rPr>
          <w:rFonts w:ascii="仿宋" w:hAnsi="仿宋" w:eastAsia="仿宋" w:cs="仿宋"/>
          <w:sz w:val="28"/>
          <w:szCs w:val="28"/>
        </w:rPr>
      </w:pPr>
      <w:r>
        <w:rPr>
          <w:rFonts w:ascii="仿宋" w:hAnsi="仿宋" w:eastAsia="仿宋" w:cs="仿宋"/>
          <w:sz w:val="28"/>
          <w:szCs w:val="28"/>
        </w:rPr>
        <w:drawing>
          <wp:inline distT="0" distB="0" distL="0" distR="0">
            <wp:extent cx="4657090" cy="2179320"/>
            <wp:effectExtent l="0" t="0" r="10160" b="11430"/>
            <wp:docPr id="57" name="图片 57" descr="http://192.168.5.141:8001/../TempImageFiles/txtTitle/20170529165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ttp://192.168.5.141:8001/../TempImageFiles/txtTitle/20170529165740.png"/>
                    <pic:cNvPicPr>
                      <a:picLocks noChangeAspect="1" noChangeArrowheads="1"/>
                    </pic:cNvPicPr>
                  </pic:nvPicPr>
                  <pic:blipFill>
                    <a:blip r:embed="rId14"/>
                    <a:srcRect/>
                    <a:stretch>
                      <a:fillRect/>
                    </a:stretch>
                  </pic:blipFill>
                  <pic:spPr>
                    <a:xfrm>
                      <a:off x="0" y="0"/>
                      <a:ext cx="4664425" cy="2182927"/>
                    </a:xfrm>
                    <a:prstGeom prst="rect">
                      <a:avLst/>
                    </a:prstGeom>
                    <a:noFill/>
                    <a:ln w="9525">
                      <a:noFill/>
                      <a:miter lim="800000"/>
                      <a:headEnd/>
                      <a:tailEnd/>
                    </a:ln>
                  </pic:spPr>
                </pic:pic>
              </a:graphicData>
            </a:graphic>
          </wp:inline>
        </w:drawing>
      </w:r>
    </w:p>
    <w:p>
      <w:pPr>
        <w:spacing w:line="360" w:lineRule="auto"/>
        <w:rPr>
          <w:rFonts w:ascii="仿宋" w:hAnsi="仿宋" w:eastAsia="仿宋" w:cs="仿宋"/>
          <w:sz w:val="24"/>
        </w:rPr>
      </w:pPr>
      <w:r>
        <w:rPr>
          <w:rFonts w:hint="eastAsia" w:ascii="仿宋" w:hAnsi="仿宋" w:eastAsia="仿宋" w:cs="仿宋"/>
          <w:sz w:val="24"/>
        </w:rPr>
        <w:t xml:space="preserve">A:⑦⑤④①③②⑥ </w:t>
      </w:r>
    </w:p>
    <w:p>
      <w:pPr>
        <w:spacing w:line="360" w:lineRule="auto"/>
        <w:rPr>
          <w:rFonts w:ascii="仿宋" w:hAnsi="仿宋" w:eastAsia="仿宋" w:cs="仿宋"/>
          <w:sz w:val="24"/>
        </w:rPr>
      </w:pPr>
      <w:r>
        <w:rPr>
          <w:rFonts w:hint="eastAsia" w:ascii="仿宋" w:hAnsi="仿宋" w:eastAsia="仿宋" w:cs="仿宋"/>
          <w:sz w:val="24"/>
        </w:rPr>
        <w:t xml:space="preserve">B:⑦③①④⑥⑤② </w:t>
      </w:r>
    </w:p>
    <w:p>
      <w:pPr>
        <w:spacing w:line="360" w:lineRule="auto"/>
        <w:rPr>
          <w:rFonts w:ascii="仿宋" w:hAnsi="仿宋" w:eastAsia="仿宋" w:cs="仿宋"/>
          <w:sz w:val="24"/>
        </w:rPr>
      </w:pPr>
      <w:r>
        <w:rPr>
          <w:rFonts w:hint="eastAsia" w:ascii="仿宋" w:hAnsi="仿宋" w:eastAsia="仿宋" w:cs="仿宋"/>
          <w:sz w:val="24"/>
        </w:rPr>
        <w:t xml:space="preserve">C:⑦⑤①③④②⑥ </w:t>
      </w:r>
    </w:p>
    <w:p>
      <w:pPr>
        <w:spacing w:line="360" w:lineRule="auto"/>
        <w:rPr>
          <w:rFonts w:ascii="仿宋_GB2312" w:hAnsi="Arial Narrow" w:eastAsia="仿宋_GB2312" w:cs="Arial"/>
          <w:sz w:val="24"/>
        </w:rPr>
      </w:pPr>
      <w:r>
        <w:rPr>
          <w:rFonts w:hint="eastAsia" w:ascii="仿宋" w:hAnsi="仿宋" w:eastAsia="仿宋" w:cs="仿宋"/>
          <w:sz w:val="24"/>
        </w:rPr>
        <w:t xml:space="preserve">D:⑦⑤①⑥④②③ </w:t>
      </w:r>
    </w:p>
    <w:p>
      <w:pPr>
        <w:snapToGrid w:val="0"/>
        <w:spacing w:line="360" w:lineRule="auto"/>
        <w:ind w:left="420"/>
        <w:outlineLvl w:val="0"/>
        <w:rPr>
          <w:rFonts w:ascii="Arial Narrow" w:hAnsi="Arial Narrow" w:eastAsia="仿宋_GB2312" w:cs="Arial"/>
          <w:b/>
          <w:sz w:val="28"/>
          <w:szCs w:val="28"/>
        </w:rPr>
      </w:pPr>
    </w:p>
    <w:p>
      <w:pPr>
        <w:snapToGrid w:val="0"/>
        <w:spacing w:line="360" w:lineRule="auto"/>
        <w:ind w:left="420"/>
        <w:outlineLvl w:val="0"/>
        <w:rPr>
          <w:rFonts w:ascii="Arial Narrow" w:hAnsi="Arial Narrow" w:eastAsia="仿宋_GB2312" w:cs="Arial"/>
          <w:b/>
          <w:sz w:val="24"/>
        </w:rPr>
      </w:pPr>
      <w:r>
        <w:rPr>
          <w:rFonts w:hint="eastAsia" w:ascii="Arial Narrow" w:hAnsi="Arial Narrow" w:eastAsia="仿宋_GB2312" w:cs="Arial"/>
          <w:b/>
          <w:sz w:val="24"/>
        </w:rPr>
        <w:t>（三）“银行业务能力”竞赛</w:t>
      </w:r>
    </w:p>
    <w:p>
      <w:pPr>
        <w:pStyle w:val="2"/>
        <w:numPr>
          <w:ilvl w:val="0"/>
          <w:numId w:val="3"/>
        </w:numPr>
        <w:spacing w:line="360" w:lineRule="auto"/>
        <w:ind w:firstLine="560"/>
        <w:rPr>
          <w:rFonts w:ascii="仿宋_GB2312" w:hAnsi="仿宋_GB2312" w:eastAsia="仿宋_GB2312" w:cs="仿宋_GB2312"/>
          <w:sz w:val="24"/>
          <w:szCs w:val="24"/>
        </w:rPr>
      </w:pPr>
      <w:r>
        <w:rPr>
          <w:rFonts w:hint="eastAsia" w:ascii="仿宋_GB2312" w:hAnsi="仿宋_GB2312" w:eastAsia="仿宋_GB2312" w:cs="仿宋_GB2312"/>
          <w:sz w:val="24"/>
          <w:szCs w:val="24"/>
        </w:rPr>
        <w:t>银行综合业务</w:t>
      </w:r>
    </w:p>
    <w:p>
      <w:pPr>
        <w:snapToGrid w:val="0"/>
        <w:spacing w:line="360" w:lineRule="auto"/>
        <w:jc w:val="left"/>
        <w:rPr>
          <w:rFonts w:ascii="仿宋_GB2312" w:hAnsi="微软雅黑" w:eastAsia="仿宋_GB2312" w:cs="Arial"/>
          <w:sz w:val="24"/>
        </w:rPr>
      </w:pPr>
      <w:r>
        <w:rPr>
          <w:rFonts w:hint="eastAsia" w:ascii="仿宋_GB2312" w:hAnsi="微软雅黑" w:eastAsia="仿宋_GB2312" w:cs="Arial"/>
          <w:b/>
          <w:bCs/>
          <w:sz w:val="24"/>
        </w:rPr>
        <w:t>任务1</w:t>
      </w:r>
      <w:r>
        <w:rPr>
          <w:rFonts w:hint="eastAsia" w:ascii="仿宋_GB2312" w:hAnsi="微软雅黑" w:eastAsia="仿宋_GB2312" w:cs="Arial"/>
          <w:sz w:val="24"/>
        </w:rPr>
        <w:t>：柜员岗前准备</w:t>
      </w:r>
    </w:p>
    <w:p>
      <w:pPr>
        <w:snapToGrid w:val="0"/>
        <w:spacing w:line="360" w:lineRule="auto"/>
        <w:jc w:val="left"/>
        <w:rPr>
          <w:rFonts w:ascii="仿宋_GB2312" w:hAnsi="微软雅黑" w:eastAsia="仿宋_GB2312" w:cs="Arial"/>
          <w:sz w:val="24"/>
        </w:rPr>
      </w:pPr>
      <w:r>
        <w:rPr>
          <w:rFonts w:hint="eastAsia" w:ascii="仿宋_GB2312" w:hAnsi="微软雅黑" w:eastAsia="仿宋_GB2312" w:cs="Arial"/>
          <w:b/>
          <w:bCs/>
          <w:sz w:val="24"/>
        </w:rPr>
        <w:t>任务说明</w:t>
      </w:r>
      <w:r>
        <w:rPr>
          <w:rFonts w:hint="eastAsia" w:ascii="仿宋_GB2312" w:hAnsi="微软雅黑" w:eastAsia="仿宋_GB2312" w:cs="Arial"/>
          <w:sz w:val="24"/>
        </w:rPr>
        <w:t>：</w:t>
      </w:r>
    </w:p>
    <w:p>
      <w:pPr>
        <w:snapToGrid w:val="0"/>
        <w:spacing w:line="360" w:lineRule="auto"/>
        <w:jc w:val="left"/>
        <w:rPr>
          <w:rFonts w:ascii="仿宋_GB2312" w:hAnsi="微软雅黑" w:eastAsia="仿宋_GB2312" w:cs="Arial"/>
          <w:sz w:val="24"/>
        </w:rPr>
      </w:pPr>
      <w:r>
        <w:rPr>
          <w:rFonts w:hint="eastAsia" w:ascii="仿宋_GB2312" w:hAnsi="微软雅黑" w:eastAsia="仿宋_GB2312" w:cs="Arial"/>
          <w:sz w:val="24"/>
        </w:rPr>
        <w:t xml:space="preserve">    银行柜员在每日营业开始前需进行岗前准备操作，完成现金及重要凭证出库。现将“借记卡”、“普通存折”、“双整存单”、“定活存单”、“银行承兑汇票”、“单位定期存款开户证实书”等凭证各20张出库，“现金支票”“转账支票”各两本及人民币现金10万元出库到柜员个人钱箱。</w:t>
      </w:r>
    </w:p>
    <w:p>
      <w:pPr>
        <w:snapToGrid w:val="0"/>
        <w:spacing w:line="360" w:lineRule="auto"/>
        <w:rPr>
          <w:rFonts w:ascii="仿宋_GB2312" w:hAnsi="微软雅黑" w:eastAsia="仿宋_GB2312" w:cs="Arial"/>
          <w:sz w:val="24"/>
        </w:rPr>
      </w:pPr>
      <w:r>
        <w:rPr>
          <w:rFonts w:hint="eastAsia" w:ascii="仿宋_GB2312" w:hAnsi="微软雅黑" w:eastAsia="仿宋_GB2312" w:cs="Arial"/>
          <w:b/>
          <w:bCs/>
          <w:sz w:val="24"/>
        </w:rPr>
        <w:t>任务2</w:t>
      </w:r>
      <w:r>
        <w:rPr>
          <w:rFonts w:hint="eastAsia" w:ascii="仿宋_GB2312" w:hAnsi="微软雅黑" w:eastAsia="仿宋_GB2312" w:cs="Arial"/>
          <w:sz w:val="24"/>
        </w:rPr>
        <w:t>：个人客户储蓄开户业务</w:t>
      </w:r>
    </w:p>
    <w:p>
      <w:pPr>
        <w:snapToGrid w:val="0"/>
        <w:spacing w:line="360" w:lineRule="auto"/>
        <w:jc w:val="left"/>
        <w:rPr>
          <w:rFonts w:ascii="仿宋_GB2312" w:hAnsi="微软雅黑" w:eastAsia="仿宋_GB2312" w:cs="Arial"/>
          <w:sz w:val="24"/>
        </w:rPr>
      </w:pPr>
      <w:r>
        <w:rPr>
          <w:rFonts w:hint="eastAsia" w:ascii="仿宋_GB2312" w:hAnsi="微软雅黑" w:eastAsia="仿宋_GB2312" w:cs="Arial"/>
          <w:b/>
          <w:bCs/>
          <w:sz w:val="24"/>
        </w:rPr>
        <w:t>任务说明</w:t>
      </w:r>
      <w:r>
        <w:rPr>
          <w:rFonts w:hint="eastAsia" w:ascii="仿宋_GB2312" w:hAnsi="微软雅黑" w:eastAsia="仿宋_GB2312" w:cs="Arial"/>
          <w:sz w:val="24"/>
        </w:rPr>
        <w:t>：</w:t>
      </w:r>
    </w:p>
    <w:p>
      <w:pPr>
        <w:snapToGrid w:val="0"/>
        <w:spacing w:line="360" w:lineRule="auto"/>
        <w:jc w:val="left"/>
        <w:rPr>
          <w:rFonts w:ascii="仿宋_GB2312" w:hAnsi="微软雅黑" w:eastAsia="仿宋_GB2312" w:cs="Arial"/>
          <w:sz w:val="24"/>
        </w:rPr>
      </w:pPr>
      <w:r>
        <w:rPr>
          <w:rFonts w:hint="eastAsia" w:ascii="仿宋_GB2312" w:hAnsi="微软雅黑" w:eastAsia="仿宋_GB2312" w:cs="Arial"/>
          <w:sz w:val="24"/>
        </w:rPr>
        <w:t xml:space="preserve">    张大伟先生携带身份证（身份证号码：615179198511015932；家庭地址：北京东城区桃源小区16栋801室；电话：010-86845321）和30000元现金来我行办理储蓄开户业务，该客户要求分别办理借记卡</w:t>
      </w:r>
      <w:r>
        <w:rPr>
          <w:rFonts w:hint="eastAsia" w:ascii="仿宋" w:hAnsi="仿宋" w:eastAsia="仿宋" w:cs="仿宋"/>
          <w:sz w:val="24"/>
        </w:rPr>
        <w:t>Ⅰ</w:t>
      </w:r>
      <w:r>
        <w:rPr>
          <w:rFonts w:hint="eastAsia" w:ascii="仿宋_GB2312" w:hAnsi="微软雅黑" w:eastAsia="仿宋_GB2312" w:cs="Arial"/>
          <w:sz w:val="24"/>
        </w:rPr>
        <w:t>类账户、</w:t>
      </w:r>
      <w:r>
        <w:rPr>
          <w:rFonts w:hint="eastAsia" w:ascii="仿宋" w:hAnsi="仿宋" w:eastAsia="仿宋" w:cs="仿宋"/>
          <w:sz w:val="24"/>
        </w:rPr>
        <w:t>Ⅱ类账户、Ⅲ类账户各</w:t>
      </w:r>
      <w:r>
        <w:rPr>
          <w:rFonts w:hint="eastAsia" w:ascii="仿宋_GB2312" w:hAnsi="微软雅黑" w:eastAsia="仿宋_GB2312" w:cs="Arial"/>
          <w:sz w:val="24"/>
        </w:rPr>
        <w:t>一个。同时为其开通的</w:t>
      </w:r>
      <w:r>
        <w:rPr>
          <w:rFonts w:hint="eastAsia" w:ascii="仿宋" w:hAnsi="仿宋" w:eastAsia="仿宋" w:cs="仿宋"/>
          <w:sz w:val="24"/>
        </w:rPr>
        <w:t>Ⅰ</w:t>
      </w:r>
      <w:r>
        <w:rPr>
          <w:rFonts w:hint="eastAsia" w:ascii="仿宋_GB2312" w:hAnsi="微软雅黑" w:eastAsia="仿宋_GB2312" w:cs="Arial"/>
          <w:sz w:val="24"/>
        </w:rPr>
        <w:t>类账户办理相关业务：通知期为七天的通知存款账户、定活两便账户、普通活期存款账户、存期为一年的整存整取账户、存期为三年的零存整取账户，共计五个子账户，分别存入人民币40000元、20000、123900元、50000元、30000元。</w:t>
      </w:r>
    </w:p>
    <w:p>
      <w:pPr>
        <w:snapToGrid w:val="0"/>
        <w:spacing w:line="360" w:lineRule="auto"/>
        <w:rPr>
          <w:rFonts w:ascii="仿宋_GB2312" w:hAnsi="微软雅黑" w:eastAsia="仿宋_GB2312" w:cs="Arial"/>
          <w:sz w:val="24"/>
        </w:rPr>
      </w:pPr>
      <w:r>
        <w:rPr>
          <w:rFonts w:hint="eastAsia" w:ascii="仿宋_GB2312" w:hAnsi="微软雅黑" w:eastAsia="仿宋_GB2312" w:cs="Arial"/>
          <w:b/>
          <w:bCs/>
          <w:sz w:val="24"/>
        </w:rPr>
        <w:t>任务3</w:t>
      </w:r>
      <w:r>
        <w:rPr>
          <w:rFonts w:hint="eastAsia" w:ascii="仿宋_GB2312" w:hAnsi="微软雅黑" w:eastAsia="仿宋_GB2312" w:cs="Arial"/>
          <w:sz w:val="24"/>
        </w:rPr>
        <w:t>：个人特殊业务</w:t>
      </w:r>
    </w:p>
    <w:p>
      <w:pPr>
        <w:snapToGrid w:val="0"/>
        <w:spacing w:line="360" w:lineRule="auto"/>
        <w:rPr>
          <w:rFonts w:ascii="仿宋_GB2312" w:hAnsi="微软雅黑" w:eastAsia="仿宋_GB2312" w:cs="Arial"/>
          <w:sz w:val="24"/>
        </w:rPr>
      </w:pPr>
      <w:r>
        <w:rPr>
          <w:rFonts w:hint="eastAsia" w:ascii="仿宋_GB2312" w:hAnsi="微软雅黑" w:eastAsia="仿宋_GB2312" w:cs="Arial"/>
          <w:b/>
          <w:bCs/>
          <w:sz w:val="24"/>
        </w:rPr>
        <w:t>任务说明</w:t>
      </w:r>
      <w:r>
        <w:rPr>
          <w:rFonts w:hint="eastAsia" w:ascii="仿宋_GB2312" w:hAnsi="微软雅黑" w:eastAsia="仿宋_GB2312" w:cs="Arial"/>
          <w:sz w:val="24"/>
        </w:rPr>
        <w:t>：</w:t>
      </w:r>
    </w:p>
    <w:p>
      <w:pPr>
        <w:snapToGrid w:val="0"/>
        <w:spacing w:line="360" w:lineRule="auto"/>
        <w:ind w:firstLine="480" w:firstLineChars="200"/>
        <w:rPr>
          <w:rFonts w:ascii="仿宋_GB2312" w:hAnsi="微软雅黑" w:eastAsia="仿宋_GB2312" w:cs="Arial"/>
          <w:sz w:val="24"/>
        </w:rPr>
      </w:pPr>
      <w:r>
        <w:rPr>
          <w:rFonts w:hint="eastAsia" w:ascii="仿宋_GB2312" w:hAnsi="微软雅黑" w:eastAsia="仿宋_GB2312" w:cs="Arial"/>
          <w:sz w:val="24"/>
        </w:rPr>
        <w:t>（1）客户张大伟来我行办理</w:t>
      </w:r>
      <w:r>
        <w:rPr>
          <w:rFonts w:hint="eastAsia" w:ascii="仿宋" w:hAnsi="仿宋" w:eastAsia="仿宋" w:cs="仿宋"/>
          <w:sz w:val="24"/>
        </w:rPr>
        <w:t>Ⅲ类账户</w:t>
      </w:r>
      <w:r>
        <w:rPr>
          <w:rFonts w:hint="eastAsia" w:ascii="仿宋_GB2312" w:hAnsi="微软雅黑" w:eastAsia="仿宋_GB2312" w:cs="Arial"/>
          <w:sz w:val="24"/>
        </w:rPr>
        <w:t>借记卡口头挂失业务；</w:t>
      </w:r>
    </w:p>
    <w:p>
      <w:pPr>
        <w:snapToGrid w:val="0"/>
        <w:spacing w:line="360" w:lineRule="auto"/>
        <w:ind w:firstLine="480" w:firstLineChars="200"/>
        <w:rPr>
          <w:rFonts w:ascii="仿宋_GB2312" w:hAnsi="微软雅黑" w:eastAsia="仿宋_GB2312" w:cs="Arial"/>
          <w:sz w:val="24"/>
        </w:rPr>
      </w:pPr>
      <w:r>
        <w:rPr>
          <w:rFonts w:hint="eastAsia" w:ascii="仿宋_GB2312" w:hAnsi="微软雅黑" w:eastAsia="仿宋_GB2312" w:cs="Arial"/>
          <w:sz w:val="24"/>
        </w:rPr>
        <w:t>（2）客户张大伟找到了</w:t>
      </w:r>
      <w:r>
        <w:rPr>
          <w:rFonts w:hint="eastAsia" w:ascii="仿宋" w:hAnsi="仿宋" w:eastAsia="仿宋" w:cs="仿宋"/>
          <w:sz w:val="24"/>
        </w:rPr>
        <w:t>Ⅲ类账户</w:t>
      </w:r>
      <w:r>
        <w:rPr>
          <w:rFonts w:hint="eastAsia" w:ascii="仿宋_GB2312" w:hAnsi="微软雅黑" w:eastAsia="仿宋_GB2312" w:cs="Arial"/>
          <w:sz w:val="24"/>
        </w:rPr>
        <w:t>借记卡，前来银行要求对已挂失的借记卡解挂；</w:t>
      </w:r>
    </w:p>
    <w:p>
      <w:pPr>
        <w:snapToGrid w:val="0"/>
        <w:spacing w:line="360" w:lineRule="auto"/>
        <w:ind w:firstLine="480" w:firstLineChars="200"/>
        <w:rPr>
          <w:rFonts w:ascii="仿宋_GB2312" w:hAnsi="微软雅黑" w:eastAsia="仿宋_GB2312" w:cs="Arial"/>
          <w:sz w:val="24"/>
        </w:rPr>
      </w:pPr>
      <w:r>
        <w:rPr>
          <w:rFonts w:hint="eastAsia" w:ascii="仿宋_GB2312" w:hAnsi="微软雅黑" w:eastAsia="仿宋_GB2312" w:cs="Arial"/>
          <w:sz w:val="24"/>
        </w:rPr>
        <w:t>（3）客户张大伟忘记</w:t>
      </w:r>
      <w:r>
        <w:rPr>
          <w:rFonts w:hint="eastAsia" w:ascii="仿宋" w:hAnsi="仿宋" w:eastAsia="仿宋" w:cs="仿宋"/>
          <w:sz w:val="24"/>
        </w:rPr>
        <w:t>Ⅰ</w:t>
      </w:r>
      <w:r>
        <w:rPr>
          <w:rFonts w:hint="eastAsia" w:ascii="仿宋_GB2312" w:hAnsi="微软雅黑" w:eastAsia="仿宋_GB2312" w:cs="Arial"/>
          <w:sz w:val="24"/>
        </w:rPr>
        <w:t>类账户借记卡密码，前来我行办理密码重置业务；</w:t>
      </w:r>
    </w:p>
    <w:p>
      <w:pPr>
        <w:snapToGrid w:val="0"/>
        <w:spacing w:line="360" w:lineRule="auto"/>
        <w:ind w:firstLine="480" w:firstLineChars="200"/>
        <w:rPr>
          <w:rFonts w:ascii="仿宋_GB2312" w:hAnsi="微软雅黑" w:eastAsia="仿宋_GB2312" w:cs="Arial"/>
          <w:sz w:val="24"/>
        </w:rPr>
      </w:pPr>
      <w:r>
        <w:rPr>
          <w:rFonts w:hint="eastAsia" w:ascii="仿宋_GB2312" w:hAnsi="微软雅黑" w:eastAsia="仿宋_GB2312" w:cs="Arial"/>
          <w:sz w:val="24"/>
        </w:rPr>
        <w:t>（4）客户张大伟Ⅱ类账户借记卡遗失，前来我行办理补卡业务。</w:t>
      </w:r>
    </w:p>
    <w:p>
      <w:pPr>
        <w:snapToGrid w:val="0"/>
        <w:spacing w:line="360" w:lineRule="auto"/>
        <w:rPr>
          <w:rFonts w:ascii="仿宋_GB2312" w:hAnsi="微软雅黑" w:eastAsia="仿宋_GB2312" w:cs="Arial"/>
          <w:sz w:val="24"/>
        </w:rPr>
      </w:pPr>
      <w:r>
        <w:rPr>
          <w:rFonts w:hint="eastAsia" w:ascii="仿宋_GB2312" w:hAnsi="微软雅黑" w:eastAsia="仿宋_GB2312" w:cs="Arial"/>
          <w:b/>
          <w:bCs/>
          <w:sz w:val="24"/>
        </w:rPr>
        <w:t>任务4</w:t>
      </w:r>
      <w:r>
        <w:rPr>
          <w:rFonts w:hint="eastAsia" w:ascii="仿宋_GB2312" w:hAnsi="微软雅黑" w:eastAsia="仿宋_GB2312" w:cs="Arial"/>
          <w:sz w:val="24"/>
        </w:rPr>
        <w:t>：个人网银业务</w:t>
      </w:r>
    </w:p>
    <w:p>
      <w:pPr>
        <w:snapToGrid w:val="0"/>
        <w:spacing w:line="360" w:lineRule="auto"/>
        <w:rPr>
          <w:rFonts w:ascii="仿宋_GB2312" w:hAnsi="微软雅黑" w:eastAsia="仿宋_GB2312" w:cs="Arial"/>
          <w:sz w:val="24"/>
        </w:rPr>
      </w:pPr>
      <w:r>
        <w:rPr>
          <w:rFonts w:hint="eastAsia" w:ascii="仿宋_GB2312" w:hAnsi="微软雅黑" w:eastAsia="仿宋_GB2312" w:cs="Arial"/>
          <w:b/>
          <w:bCs/>
          <w:sz w:val="24"/>
        </w:rPr>
        <w:t>任务说明</w:t>
      </w:r>
      <w:r>
        <w:rPr>
          <w:rFonts w:hint="eastAsia" w:ascii="仿宋_GB2312" w:hAnsi="微软雅黑" w:eastAsia="仿宋_GB2312" w:cs="Arial"/>
          <w:sz w:val="24"/>
        </w:rPr>
        <w:t>：</w:t>
      </w:r>
    </w:p>
    <w:p>
      <w:pPr>
        <w:snapToGrid w:val="0"/>
        <w:spacing w:line="360" w:lineRule="auto"/>
        <w:ind w:firstLine="480" w:firstLineChars="200"/>
        <w:rPr>
          <w:rFonts w:ascii="仿宋_GB2312" w:hAnsi="微软雅黑" w:eastAsia="仿宋_GB2312" w:cs="Arial"/>
          <w:sz w:val="24"/>
        </w:rPr>
      </w:pPr>
      <w:r>
        <w:rPr>
          <w:rFonts w:hint="eastAsia" w:ascii="仿宋_GB2312" w:hAnsi="微软雅黑" w:eastAsia="仿宋_GB2312" w:cs="Arial"/>
          <w:sz w:val="24"/>
        </w:rPr>
        <w:t>客户张大伟前来我行办理</w:t>
      </w:r>
      <w:r>
        <w:rPr>
          <w:rFonts w:hint="eastAsia" w:ascii="仿宋" w:hAnsi="仿宋" w:eastAsia="仿宋" w:cs="仿宋"/>
          <w:sz w:val="24"/>
        </w:rPr>
        <w:t>Ⅰ</w:t>
      </w:r>
      <w:r>
        <w:rPr>
          <w:rFonts w:hint="eastAsia" w:ascii="仿宋_GB2312" w:hAnsi="微软雅黑" w:eastAsia="仿宋_GB2312" w:cs="Arial"/>
          <w:sz w:val="24"/>
        </w:rPr>
        <w:t>类账户借记卡网银开通业务，我行柜员为其办理了个人网银签约业务。</w:t>
      </w:r>
    </w:p>
    <w:p>
      <w:pPr>
        <w:snapToGrid w:val="0"/>
        <w:spacing w:line="360" w:lineRule="auto"/>
        <w:rPr>
          <w:rFonts w:ascii="仿宋_GB2312" w:hAnsi="微软雅黑" w:eastAsia="仿宋_GB2312" w:cs="Arial"/>
          <w:sz w:val="24"/>
        </w:rPr>
      </w:pPr>
      <w:r>
        <w:rPr>
          <w:rFonts w:hint="eastAsia" w:ascii="仿宋_GB2312" w:hAnsi="微软雅黑" w:eastAsia="仿宋_GB2312" w:cs="Arial"/>
          <w:b/>
          <w:bCs/>
          <w:sz w:val="24"/>
        </w:rPr>
        <w:t>任务5</w:t>
      </w:r>
      <w:r>
        <w:rPr>
          <w:rFonts w:hint="eastAsia" w:ascii="仿宋_GB2312" w:hAnsi="微软雅黑" w:eastAsia="仿宋_GB2312" w:cs="Arial"/>
          <w:sz w:val="24"/>
        </w:rPr>
        <w:t>：存款证明业务</w:t>
      </w:r>
    </w:p>
    <w:p>
      <w:pPr>
        <w:snapToGrid w:val="0"/>
        <w:spacing w:line="360" w:lineRule="auto"/>
        <w:rPr>
          <w:rFonts w:ascii="仿宋_GB2312" w:hAnsi="微软雅黑" w:eastAsia="仿宋_GB2312" w:cs="Arial"/>
          <w:sz w:val="24"/>
        </w:rPr>
      </w:pPr>
      <w:r>
        <w:rPr>
          <w:rFonts w:hint="eastAsia" w:ascii="仿宋_GB2312" w:hAnsi="微软雅黑" w:eastAsia="仿宋_GB2312" w:cs="Arial"/>
          <w:b/>
          <w:bCs/>
          <w:sz w:val="24"/>
        </w:rPr>
        <w:t>任务说明</w:t>
      </w:r>
      <w:r>
        <w:rPr>
          <w:rFonts w:hint="eastAsia" w:ascii="仿宋_GB2312" w:hAnsi="微软雅黑" w:eastAsia="仿宋_GB2312" w:cs="Arial"/>
          <w:sz w:val="24"/>
        </w:rPr>
        <w:t>：</w:t>
      </w:r>
    </w:p>
    <w:p>
      <w:pPr>
        <w:snapToGrid w:val="0"/>
        <w:spacing w:line="360" w:lineRule="auto"/>
        <w:rPr>
          <w:rFonts w:ascii="仿宋_GB2312" w:hAnsi="微软雅黑" w:eastAsia="仿宋_GB2312" w:cs="Arial"/>
          <w:sz w:val="24"/>
        </w:rPr>
      </w:pPr>
      <w:r>
        <w:rPr>
          <w:rFonts w:hint="eastAsia" w:ascii="仿宋_GB2312" w:hAnsi="微软雅黑" w:eastAsia="仿宋_GB2312" w:cs="Arial"/>
          <w:sz w:val="24"/>
        </w:rPr>
        <w:t xml:space="preserve">    客户张大伟因购买商品住房办理银行按揭贷款手续，需我行为其出具存款证明，我行柜员按规定为其办理存款证明。</w:t>
      </w:r>
    </w:p>
    <w:p>
      <w:pPr>
        <w:snapToGrid w:val="0"/>
        <w:spacing w:line="360" w:lineRule="auto"/>
        <w:rPr>
          <w:rFonts w:ascii="仿宋_GB2312" w:hAnsi="微软雅黑" w:eastAsia="仿宋_GB2312" w:cs="Arial"/>
          <w:sz w:val="24"/>
        </w:rPr>
      </w:pPr>
      <w:r>
        <w:rPr>
          <w:rFonts w:hint="eastAsia" w:ascii="仿宋_GB2312" w:hAnsi="微软雅黑" w:eastAsia="仿宋_GB2312" w:cs="Arial"/>
          <w:b/>
          <w:bCs/>
          <w:sz w:val="24"/>
        </w:rPr>
        <w:t>任务6</w:t>
      </w:r>
      <w:r>
        <w:rPr>
          <w:rFonts w:hint="eastAsia" w:ascii="仿宋_GB2312" w:hAnsi="微软雅黑" w:eastAsia="仿宋_GB2312" w:cs="Arial"/>
          <w:sz w:val="24"/>
        </w:rPr>
        <w:t>：公司账户开户业务</w:t>
      </w:r>
    </w:p>
    <w:p>
      <w:pPr>
        <w:snapToGrid w:val="0"/>
        <w:spacing w:line="360" w:lineRule="auto"/>
        <w:rPr>
          <w:rFonts w:ascii="仿宋_GB2312" w:hAnsi="微软雅黑" w:eastAsia="仿宋_GB2312" w:cs="Arial"/>
          <w:sz w:val="24"/>
        </w:rPr>
      </w:pPr>
      <w:r>
        <w:rPr>
          <w:rFonts w:hint="eastAsia" w:ascii="仿宋_GB2312" w:hAnsi="微软雅黑" w:eastAsia="仿宋_GB2312" w:cs="Arial"/>
          <w:b/>
          <w:bCs/>
          <w:sz w:val="24"/>
        </w:rPr>
        <w:t>任务说明</w:t>
      </w:r>
      <w:r>
        <w:rPr>
          <w:rFonts w:hint="eastAsia" w:ascii="仿宋_GB2312" w:hAnsi="微软雅黑" w:eastAsia="仿宋_GB2312" w:cs="Arial"/>
          <w:sz w:val="24"/>
        </w:rPr>
        <w:t>：</w:t>
      </w:r>
    </w:p>
    <w:p>
      <w:pPr>
        <w:snapToGrid w:val="0"/>
        <w:spacing w:line="360" w:lineRule="auto"/>
        <w:jc w:val="left"/>
        <w:rPr>
          <w:rFonts w:ascii="仿宋_GB2312" w:hAnsi="微软雅黑" w:eastAsia="仿宋_GB2312" w:cs="Arial"/>
          <w:sz w:val="24"/>
        </w:rPr>
      </w:pPr>
      <w:r>
        <w:rPr>
          <w:rFonts w:hint="eastAsia" w:ascii="仿宋_GB2312" w:hAnsi="微软雅黑" w:eastAsia="仿宋_GB2312" w:cs="Arial"/>
          <w:sz w:val="24"/>
        </w:rPr>
        <w:t xml:space="preserve">    深圳创建科技股份有限责任公司（公司成立于2011年12月，注册资金960万人民币，统一社会信用代码：910035259100771123K,行业类别:商业客户），主要从事数码产品业务，公司法定代表人兼董事长:李建军，法人身份证号码：360727198211091128，公司地址：深圳深南时代大厦31楼015号，联系人：魏明芳，联系电话：0755-82649016。</w:t>
      </w:r>
    </w:p>
    <w:p>
      <w:pPr>
        <w:snapToGrid w:val="0"/>
        <w:spacing w:line="360" w:lineRule="auto"/>
        <w:ind w:firstLine="480" w:firstLineChars="200"/>
        <w:rPr>
          <w:rFonts w:ascii="仿宋_GB2312" w:hAnsi="微软雅黑" w:eastAsia="仿宋_GB2312" w:cs="Arial"/>
          <w:sz w:val="24"/>
        </w:rPr>
      </w:pPr>
      <w:r>
        <w:rPr>
          <w:rFonts w:hint="eastAsia" w:ascii="仿宋_GB2312" w:hAnsi="微软雅黑" w:eastAsia="仿宋_GB2312" w:cs="Arial"/>
          <w:sz w:val="24"/>
        </w:rPr>
        <w:t>该公司出纳刘娟女士携公司营业执照，法人身份证等资料前来我行开立公司商业活期存款基本账户，开户存入现金人民币68500元。</w:t>
      </w:r>
    </w:p>
    <w:p>
      <w:pPr>
        <w:snapToGrid w:val="0"/>
        <w:spacing w:line="360" w:lineRule="auto"/>
        <w:rPr>
          <w:rFonts w:ascii="仿宋_GB2312" w:hAnsi="微软雅黑" w:eastAsia="仿宋_GB2312" w:cs="Arial"/>
          <w:sz w:val="24"/>
        </w:rPr>
      </w:pPr>
      <w:r>
        <w:rPr>
          <w:rFonts w:hint="eastAsia" w:ascii="仿宋_GB2312" w:hAnsi="微软雅黑" w:eastAsia="仿宋_GB2312" w:cs="Arial"/>
          <w:b/>
          <w:bCs/>
          <w:sz w:val="24"/>
        </w:rPr>
        <w:t>任务7</w:t>
      </w:r>
      <w:r>
        <w:rPr>
          <w:rFonts w:hint="eastAsia" w:ascii="仿宋_GB2312" w:hAnsi="微软雅黑" w:eastAsia="仿宋_GB2312" w:cs="Arial"/>
          <w:sz w:val="24"/>
        </w:rPr>
        <w:t>：代理业务</w:t>
      </w:r>
    </w:p>
    <w:p>
      <w:pPr>
        <w:snapToGrid w:val="0"/>
        <w:spacing w:line="360" w:lineRule="auto"/>
        <w:rPr>
          <w:rFonts w:ascii="仿宋_GB2312" w:hAnsi="微软雅黑" w:eastAsia="仿宋_GB2312" w:cs="Arial"/>
          <w:sz w:val="24"/>
        </w:rPr>
      </w:pPr>
      <w:r>
        <w:rPr>
          <w:rFonts w:hint="eastAsia" w:ascii="仿宋_GB2312" w:hAnsi="微软雅黑" w:eastAsia="仿宋_GB2312" w:cs="Arial"/>
          <w:b/>
          <w:bCs/>
          <w:sz w:val="24"/>
        </w:rPr>
        <w:t>任务说明</w:t>
      </w:r>
      <w:r>
        <w:rPr>
          <w:rFonts w:hint="eastAsia" w:ascii="仿宋_GB2312" w:hAnsi="微软雅黑" w:eastAsia="仿宋_GB2312" w:cs="Arial"/>
          <w:sz w:val="24"/>
        </w:rPr>
        <w:t>：</w:t>
      </w:r>
    </w:p>
    <w:p>
      <w:pPr>
        <w:snapToGrid w:val="0"/>
        <w:spacing w:line="360" w:lineRule="auto"/>
        <w:rPr>
          <w:rFonts w:ascii="仿宋_GB2312" w:hAnsi="微软雅黑" w:eastAsia="仿宋_GB2312" w:cs="Arial"/>
          <w:sz w:val="24"/>
        </w:rPr>
      </w:pPr>
      <w:r>
        <w:rPr>
          <w:rFonts w:hint="eastAsia" w:ascii="仿宋_GB2312" w:hAnsi="仿宋_GB2312" w:eastAsia="仿宋_GB2312" w:cs="仿宋_GB2312"/>
          <w:sz w:val="24"/>
        </w:rPr>
        <w:t xml:space="preserve">    万年青旅游公司的出纳前来银行柜台签订代发工资托收合同，委托本银行代理万年青旅游公司（账号：5888810201998）每月12日代发员工李文的工资业务；本日代发万年青有限公司员工李文每月工资人民币3000元。柜员根据客户代发合同完成代理业务处理。</w:t>
      </w:r>
    </w:p>
    <w:p>
      <w:pPr>
        <w:snapToGrid w:val="0"/>
        <w:spacing w:line="360" w:lineRule="auto"/>
        <w:rPr>
          <w:rFonts w:ascii="仿宋_GB2312" w:hAnsi="微软雅黑" w:eastAsia="仿宋_GB2312" w:cs="Arial"/>
          <w:sz w:val="24"/>
        </w:rPr>
      </w:pPr>
      <w:r>
        <w:rPr>
          <w:rFonts w:hint="eastAsia" w:ascii="仿宋_GB2312" w:hAnsi="微软雅黑" w:eastAsia="仿宋_GB2312" w:cs="Arial"/>
          <w:b/>
          <w:bCs/>
          <w:sz w:val="24"/>
        </w:rPr>
        <w:t>任务8</w:t>
      </w:r>
      <w:r>
        <w:rPr>
          <w:rFonts w:hint="eastAsia" w:ascii="仿宋_GB2312" w:hAnsi="微软雅黑" w:eastAsia="仿宋_GB2312" w:cs="Arial"/>
          <w:sz w:val="24"/>
        </w:rPr>
        <w:t>：个人贷款业务</w:t>
      </w:r>
    </w:p>
    <w:p>
      <w:pPr>
        <w:snapToGrid w:val="0"/>
        <w:spacing w:line="360" w:lineRule="auto"/>
        <w:rPr>
          <w:rFonts w:ascii="仿宋_GB2312" w:hAnsi="微软雅黑" w:eastAsia="仿宋_GB2312" w:cs="Arial"/>
          <w:sz w:val="24"/>
        </w:rPr>
      </w:pPr>
      <w:r>
        <w:rPr>
          <w:rFonts w:hint="eastAsia" w:ascii="仿宋_GB2312" w:hAnsi="微软雅黑" w:eastAsia="仿宋_GB2312" w:cs="Arial"/>
          <w:b/>
          <w:bCs/>
          <w:sz w:val="24"/>
        </w:rPr>
        <w:t>任务说明</w:t>
      </w:r>
      <w:r>
        <w:rPr>
          <w:rFonts w:hint="eastAsia" w:ascii="仿宋_GB2312" w:hAnsi="微软雅黑" w:eastAsia="仿宋_GB2312" w:cs="Arial"/>
          <w:sz w:val="24"/>
        </w:rPr>
        <w:t>：</w:t>
      </w:r>
    </w:p>
    <w:p>
      <w:pPr>
        <w:widowControl/>
        <w:shd w:val="clear" w:color="auto" w:fill="FFFFFF"/>
        <w:spacing w:line="360" w:lineRule="auto"/>
        <w:ind w:firstLine="600"/>
        <w:rPr>
          <w:rFonts w:ascii="仿宋_GB2312" w:hAnsi="仿宋_GB2312" w:eastAsia="仿宋_GB2312" w:cs="仿宋_GB2312"/>
          <w:color w:val="000000"/>
          <w:kern w:val="0"/>
          <w:sz w:val="24"/>
          <w:shd w:val="clear" w:color="auto" w:fill="FFFFFF"/>
        </w:rPr>
      </w:pPr>
      <w:r>
        <w:rPr>
          <w:rFonts w:hint="eastAsia" w:ascii="仿宋_GB2312" w:hAnsi="仿宋_GB2312" w:eastAsia="仿宋_GB2312" w:cs="仿宋_GB2312"/>
          <w:color w:val="000000"/>
          <w:kern w:val="0"/>
          <w:sz w:val="24"/>
          <w:shd w:val="clear" w:color="auto" w:fill="FFFFFF"/>
        </w:rPr>
        <w:t>客户吕云女士（身份证号码：362426198202233512）为购买小轿车，到本行办理“短期汽车消费贷款”业务。贷款需关联的个人存款账号为吕云在本行开设的个人借记卡</w:t>
      </w:r>
      <w:r>
        <w:rPr>
          <w:rFonts w:hint="eastAsia" w:ascii="仿宋" w:hAnsi="仿宋" w:eastAsia="仿宋" w:cs="仿宋"/>
          <w:sz w:val="24"/>
        </w:rPr>
        <w:t>Ⅰ</w:t>
      </w:r>
      <w:r>
        <w:rPr>
          <w:rFonts w:hint="eastAsia" w:ascii="仿宋_GB2312" w:hAnsi="微软雅黑" w:eastAsia="仿宋_GB2312" w:cs="Arial"/>
          <w:sz w:val="24"/>
        </w:rPr>
        <w:t>类</w:t>
      </w:r>
      <w:r>
        <w:rPr>
          <w:rFonts w:hint="eastAsia" w:ascii="仿宋_GB2312" w:hAnsi="仿宋_GB2312" w:eastAsia="仿宋_GB2312" w:cs="仿宋_GB2312"/>
          <w:color w:val="000000"/>
          <w:kern w:val="0"/>
          <w:sz w:val="24"/>
          <w:shd w:val="clear" w:color="auto" w:fill="FFFFFF"/>
        </w:rPr>
        <w:t>账户，贷款金额为30000元，贷款月利率为6.00‰，贷款期限为三年，贷款用途为汽车，收息账号为深圳市恒丰汽车有限公司在本行开立的商业存款基本账户，担保方式为抵押，还款方式为等额偿还，利息偿还方式为借贷人偿还。</w:t>
      </w:r>
    </w:p>
    <w:p>
      <w:pPr>
        <w:widowControl/>
        <w:shd w:val="clear" w:color="auto" w:fill="FFFFFF"/>
        <w:spacing w:line="360" w:lineRule="auto"/>
        <w:ind w:firstLine="600"/>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shd w:val="clear" w:color="auto" w:fill="FFFFFF"/>
        </w:rPr>
        <w:t>经本行各级信贷部门审批并通过了个人客户吕云的贷款申请，综合柜员办理吕云的贷款全额发放业务。</w:t>
      </w:r>
    </w:p>
    <w:p>
      <w:pPr>
        <w:widowControl/>
        <w:shd w:val="clear" w:color="auto" w:fill="FFFFFF"/>
        <w:spacing w:line="360" w:lineRule="auto"/>
        <w:ind w:firstLine="600"/>
        <w:rPr>
          <w:rFonts w:ascii="仿宋_GB2312" w:hAnsi="仿宋_GB2312" w:eastAsia="仿宋_GB2312" w:cs="仿宋_GB2312"/>
          <w:color w:val="000000"/>
          <w:kern w:val="0"/>
          <w:sz w:val="24"/>
          <w:shd w:val="clear" w:color="auto" w:fill="FFFFFF"/>
        </w:rPr>
      </w:pPr>
      <w:r>
        <w:rPr>
          <w:rFonts w:hint="eastAsia" w:ascii="仿宋_GB2312" w:hAnsi="仿宋_GB2312" w:eastAsia="仿宋_GB2312" w:cs="仿宋_GB2312"/>
          <w:color w:val="000000"/>
          <w:kern w:val="0"/>
          <w:sz w:val="24"/>
          <w:shd w:val="clear" w:color="auto" w:fill="FFFFFF"/>
        </w:rPr>
        <w:t>现因央行调息，我行决定将贷款利率上调10%，客户吕云因此申请提前还贷，综合柜员为其办理“短期汽车消费贷款”现金提前全部还贷业务。</w:t>
      </w:r>
    </w:p>
    <w:p>
      <w:pPr>
        <w:snapToGrid w:val="0"/>
        <w:spacing w:line="360" w:lineRule="auto"/>
        <w:rPr>
          <w:rFonts w:ascii="仿宋_GB2312" w:hAnsi="微软雅黑" w:eastAsia="仿宋_GB2312" w:cs="Arial"/>
          <w:sz w:val="24"/>
        </w:rPr>
      </w:pPr>
      <w:r>
        <w:rPr>
          <w:rFonts w:hint="eastAsia" w:ascii="仿宋_GB2312" w:hAnsi="微软雅黑" w:eastAsia="仿宋_GB2312" w:cs="Arial"/>
          <w:b/>
          <w:bCs/>
          <w:sz w:val="24"/>
        </w:rPr>
        <w:t>任务9</w:t>
      </w:r>
      <w:r>
        <w:rPr>
          <w:rFonts w:hint="eastAsia" w:ascii="仿宋_GB2312" w:hAnsi="微软雅黑" w:eastAsia="仿宋_GB2312" w:cs="Arial"/>
          <w:sz w:val="24"/>
        </w:rPr>
        <w:t>：公司贷款业务</w:t>
      </w:r>
    </w:p>
    <w:p>
      <w:pPr>
        <w:snapToGrid w:val="0"/>
        <w:spacing w:line="360" w:lineRule="auto"/>
        <w:rPr>
          <w:rFonts w:ascii="仿宋_GB2312" w:hAnsi="微软雅黑" w:eastAsia="仿宋_GB2312" w:cs="Arial"/>
          <w:sz w:val="24"/>
        </w:rPr>
      </w:pPr>
      <w:r>
        <w:rPr>
          <w:rFonts w:hint="eastAsia" w:ascii="仿宋_GB2312" w:hAnsi="微软雅黑" w:eastAsia="仿宋_GB2312" w:cs="Arial"/>
          <w:b/>
          <w:bCs/>
          <w:sz w:val="24"/>
        </w:rPr>
        <w:t>任务说明</w:t>
      </w:r>
      <w:r>
        <w:rPr>
          <w:rFonts w:hint="eastAsia" w:ascii="仿宋_GB2312" w:hAnsi="微软雅黑" w:eastAsia="仿宋_GB2312" w:cs="Arial"/>
          <w:sz w:val="24"/>
        </w:rPr>
        <w:t>：</w:t>
      </w:r>
    </w:p>
    <w:p>
      <w:pPr>
        <w:snapToGrid w:val="0"/>
        <w:spacing w:line="360" w:lineRule="auto"/>
        <w:rPr>
          <w:rFonts w:ascii="仿宋_GB2312" w:hAnsi="微软雅黑" w:eastAsia="仿宋_GB2312" w:cs="Arial"/>
          <w:sz w:val="24"/>
        </w:rPr>
      </w:pPr>
      <w:r>
        <w:rPr>
          <w:rFonts w:hint="eastAsia" w:ascii="仿宋_GB2312" w:hAnsi="仿宋_GB2312" w:eastAsia="仿宋_GB2312" w:cs="仿宋_GB2312"/>
          <w:kern w:val="0"/>
          <w:sz w:val="24"/>
        </w:rPr>
        <w:t xml:space="preserve">    深圳智达房地产有限公司因资金周转出现问题，打算在本行申请“中期流动资金抵押质押贷款”，绑定的存款账户为深圳智达房地产公司</w:t>
      </w:r>
      <w:r>
        <w:rPr>
          <w:rFonts w:hint="eastAsia" w:ascii="仿宋_GB2312" w:hAnsi="仿宋_GB2312" w:eastAsia="仿宋_GB2312" w:cs="仿宋_GB2312"/>
          <w:sz w:val="24"/>
        </w:rPr>
        <w:t>商业存款的基本账户，</w:t>
      </w:r>
      <w:r>
        <w:rPr>
          <w:rFonts w:hint="eastAsia" w:ascii="仿宋_GB2312" w:hAnsi="仿宋_GB2312" w:eastAsia="仿宋_GB2312" w:cs="仿宋_GB2312"/>
          <w:kern w:val="0"/>
          <w:sz w:val="24"/>
        </w:rPr>
        <w:t>贷款金额为500000元，贷款利率为月息6.75‰，担保方式为抵押，公司出纳凭贷款合同前来办理借款手续。柜员根据贷款业务处理流程及规范完成该客户贷款合同、贷款审批、贷款发放及还贷业务处理。</w:t>
      </w:r>
    </w:p>
    <w:p>
      <w:pPr>
        <w:snapToGrid w:val="0"/>
        <w:spacing w:line="360" w:lineRule="auto"/>
        <w:rPr>
          <w:rFonts w:ascii="仿宋_GB2312" w:hAnsi="微软雅黑" w:eastAsia="仿宋_GB2312" w:cs="Arial"/>
          <w:sz w:val="24"/>
        </w:rPr>
      </w:pPr>
      <w:r>
        <w:rPr>
          <w:rFonts w:hint="eastAsia" w:ascii="仿宋_GB2312" w:hAnsi="微软雅黑" w:eastAsia="仿宋_GB2312" w:cs="Arial"/>
          <w:b/>
          <w:bCs/>
          <w:sz w:val="24"/>
        </w:rPr>
        <w:t>任务10</w:t>
      </w:r>
      <w:r>
        <w:rPr>
          <w:rFonts w:hint="eastAsia" w:ascii="仿宋_GB2312" w:hAnsi="微软雅黑" w:eastAsia="仿宋_GB2312" w:cs="Arial"/>
          <w:sz w:val="24"/>
        </w:rPr>
        <w:t>：票据贴现业务</w:t>
      </w:r>
    </w:p>
    <w:p>
      <w:pPr>
        <w:snapToGrid w:val="0"/>
        <w:spacing w:line="360" w:lineRule="auto"/>
        <w:rPr>
          <w:rFonts w:ascii="仿宋_GB2312" w:hAnsi="微软雅黑" w:eastAsia="仿宋_GB2312" w:cs="Arial"/>
          <w:sz w:val="24"/>
        </w:rPr>
      </w:pPr>
      <w:r>
        <w:rPr>
          <w:rFonts w:hint="eastAsia" w:ascii="仿宋_GB2312" w:hAnsi="微软雅黑" w:eastAsia="仿宋_GB2312" w:cs="Arial"/>
          <w:b/>
          <w:bCs/>
          <w:sz w:val="24"/>
        </w:rPr>
        <w:t>任务说明</w:t>
      </w:r>
      <w:r>
        <w:rPr>
          <w:rFonts w:hint="eastAsia" w:ascii="仿宋_GB2312" w:hAnsi="微软雅黑" w:eastAsia="仿宋_GB2312" w:cs="Arial"/>
          <w:sz w:val="24"/>
        </w:rPr>
        <w:t>：</w:t>
      </w:r>
    </w:p>
    <w:p>
      <w:pPr>
        <w:snapToGrid w:val="0"/>
        <w:spacing w:line="360" w:lineRule="auto"/>
        <w:rPr>
          <w:rFonts w:ascii="仿宋_GB2312" w:hAnsi="微软雅黑" w:eastAsia="仿宋_GB2312" w:cs="Arial"/>
          <w:sz w:val="24"/>
        </w:rPr>
      </w:pPr>
      <w:r>
        <w:rPr>
          <w:rFonts w:hint="eastAsia" w:ascii="仿宋_GB2312" w:hAnsi="仿宋_GB2312" w:eastAsia="仿宋_GB2312" w:cs="仿宋_GB2312"/>
          <w:kern w:val="0"/>
          <w:sz w:val="24"/>
        </w:rPr>
        <w:t>深圳智达房地产有限公司持有一张票面金额为8000000元的银承汇票，汇票期限为6个月，现因公司急需流动资金，需将该汇票贴现，我行根据当前贴现利率为该公司办理相关票据贴现业务。</w:t>
      </w:r>
    </w:p>
    <w:p>
      <w:pPr>
        <w:snapToGrid w:val="0"/>
        <w:spacing w:line="360" w:lineRule="auto"/>
        <w:rPr>
          <w:rFonts w:ascii="仿宋_GB2312" w:hAnsi="微软雅黑" w:eastAsia="仿宋_GB2312" w:cs="Arial"/>
          <w:sz w:val="24"/>
        </w:rPr>
      </w:pPr>
    </w:p>
    <w:p>
      <w:pPr>
        <w:snapToGrid w:val="0"/>
        <w:spacing w:line="360" w:lineRule="auto"/>
        <w:rPr>
          <w:rFonts w:ascii="仿宋_GB2312" w:hAnsi="微软雅黑" w:eastAsia="仿宋_GB2312" w:cs="Arial"/>
          <w:sz w:val="24"/>
        </w:rPr>
      </w:pPr>
      <w:r>
        <w:rPr>
          <w:rFonts w:hint="eastAsia" w:ascii="仿宋_GB2312" w:hAnsi="微软雅黑" w:eastAsia="仿宋_GB2312" w:cs="Arial"/>
          <w:b/>
          <w:bCs/>
          <w:sz w:val="24"/>
        </w:rPr>
        <w:t>任务11</w:t>
      </w:r>
      <w:r>
        <w:rPr>
          <w:rFonts w:hint="eastAsia" w:ascii="仿宋_GB2312" w:hAnsi="微软雅黑" w:eastAsia="仿宋_GB2312" w:cs="Arial"/>
          <w:sz w:val="24"/>
        </w:rPr>
        <w:t>：银行承兑汇票业务</w:t>
      </w:r>
    </w:p>
    <w:p>
      <w:pPr>
        <w:snapToGrid w:val="0"/>
        <w:spacing w:line="360" w:lineRule="auto"/>
        <w:rPr>
          <w:rFonts w:ascii="仿宋_GB2312" w:hAnsi="微软雅黑" w:eastAsia="仿宋_GB2312" w:cs="Arial"/>
          <w:sz w:val="24"/>
        </w:rPr>
      </w:pPr>
      <w:r>
        <w:rPr>
          <w:rFonts w:hint="eastAsia" w:ascii="仿宋_GB2312" w:hAnsi="微软雅黑" w:eastAsia="仿宋_GB2312" w:cs="Arial"/>
          <w:b/>
          <w:bCs/>
          <w:sz w:val="24"/>
        </w:rPr>
        <w:t>任务说明</w:t>
      </w:r>
      <w:r>
        <w:rPr>
          <w:rFonts w:hint="eastAsia" w:ascii="仿宋_GB2312" w:hAnsi="微软雅黑" w:eastAsia="仿宋_GB2312" w:cs="Arial"/>
          <w:sz w:val="24"/>
        </w:rPr>
        <w:t>：</w:t>
      </w:r>
    </w:p>
    <w:p>
      <w:pPr>
        <w:snapToGrid w:val="0"/>
        <w:spacing w:line="360" w:lineRule="auto"/>
        <w:ind w:firstLine="600"/>
        <w:rPr>
          <w:rFonts w:ascii="仿宋_GB2312" w:hAnsi="仿宋_GB2312" w:eastAsia="仿宋_GB2312" w:cs="仿宋_GB2312"/>
          <w:kern w:val="0"/>
          <w:sz w:val="24"/>
        </w:rPr>
      </w:pPr>
      <w:r>
        <w:rPr>
          <w:rFonts w:hint="eastAsia" w:ascii="仿宋_GB2312" w:hAnsi="仿宋_GB2312" w:eastAsia="仿宋_GB2312" w:cs="仿宋_GB2312"/>
          <w:kern w:val="0"/>
          <w:sz w:val="24"/>
        </w:rPr>
        <w:t>深圳智达房地产有限公司为我行授信客户，授信额度为8000万元。现深圳智达房地产有限公司申请开立银行承兑汇票一张，票面金额为1000万元，期限为6个月。</w:t>
      </w:r>
    </w:p>
    <w:p>
      <w:pPr>
        <w:snapToGrid w:val="0"/>
        <w:spacing w:line="360" w:lineRule="auto"/>
        <w:ind w:firstLine="600"/>
        <w:rPr>
          <w:rFonts w:ascii="仿宋_GB2312" w:hAnsi="微软雅黑" w:eastAsia="仿宋_GB2312" w:cs="Arial"/>
          <w:sz w:val="24"/>
        </w:rPr>
      </w:pPr>
      <w:r>
        <w:rPr>
          <w:rFonts w:hint="eastAsia" w:ascii="仿宋_GB2312" w:hAnsi="仿宋_GB2312" w:eastAsia="仿宋_GB2312" w:cs="仿宋_GB2312"/>
          <w:kern w:val="0"/>
          <w:sz w:val="24"/>
        </w:rPr>
        <w:t>在与深圳智达房地产有限公司业务往来过程中，分别办理过承兑汇票作废、汇票到期未用及承兑汇票垫款业务。</w:t>
      </w:r>
    </w:p>
    <w:p>
      <w:pPr>
        <w:spacing w:line="360" w:lineRule="auto"/>
        <w:rPr>
          <w:rFonts w:ascii="仿宋_GB2312" w:hAnsi="仿宋_GB2312" w:eastAsia="仿宋_GB2312" w:cs="仿宋_GB2312"/>
          <w:sz w:val="24"/>
        </w:rPr>
      </w:pPr>
      <w:r>
        <w:rPr>
          <w:rFonts w:hint="eastAsia" w:ascii="仿宋_GB2312" w:hAnsi="仿宋_GB2312" w:eastAsia="仿宋_GB2312" w:cs="仿宋_GB2312"/>
          <w:b/>
          <w:bCs/>
          <w:sz w:val="24"/>
        </w:rPr>
        <w:t>任务12：</w:t>
      </w:r>
      <w:r>
        <w:rPr>
          <w:rFonts w:hint="eastAsia" w:ascii="仿宋_GB2312" w:hAnsi="仿宋_GB2312" w:eastAsia="仿宋_GB2312" w:cs="仿宋_GB2312"/>
          <w:sz w:val="24"/>
        </w:rPr>
        <w:t>电子商业汇票业务</w:t>
      </w:r>
    </w:p>
    <w:p>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任务说明：</w:t>
      </w:r>
    </w:p>
    <w:p>
      <w:pPr>
        <w:spacing w:line="360" w:lineRule="auto"/>
        <w:jc w:val="left"/>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 xml:space="preserve">    深圳南庆钢铁贸易有限公司（营业执照统一社会信用代码为916023599852014568，注册资金800万，注册日期2009年2月2号，企业性质为合伙企业，行业类别为工业客户，地址深圳市南山区工业技术大厦A栋302，法定代表人赵国庆，身份证440128198506141834，法人手机号15326981546；联系人李泰博，联系人手机13258746987。）在我行开立了基本账户，账户类别为工业存款基本户，开户时存入人民币30万。</w:t>
      </w:r>
    </w:p>
    <w:p>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color w:val="000000"/>
          <w:sz w:val="24"/>
          <w:shd w:val="clear" w:color="auto" w:fill="FFFFFF"/>
        </w:rPr>
        <w:t xml:space="preserve">    2017年4月15日，南庆公司与我行签约电子商业汇票业务。签约完成后，我行陆续为该司完成了电子商业汇票出票、提示承兑申请、提示收票申请、转让背书申请、提示付款申请、追索通知等相关业务。</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任务13：</w:t>
      </w:r>
      <w:r>
        <w:rPr>
          <w:rFonts w:hint="eastAsia" w:ascii="仿宋_GB2312" w:hAnsi="仿宋_GB2312" w:eastAsia="仿宋_GB2312" w:cs="仿宋_GB2312"/>
          <w:sz w:val="24"/>
        </w:rPr>
        <w:t>纸质商业汇票业务</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任务说明：</w:t>
      </w:r>
    </w:p>
    <w:p>
      <w:pPr>
        <w:numPr>
          <w:ilvl w:val="0"/>
          <w:numId w:val="4"/>
        </w:numPr>
        <w:spacing w:line="360" w:lineRule="auto"/>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完成一张商业承兑汇票纸票需要进行承兑登记业务，出票人为深圳仲岳股份有限公司，收款人为深圳南庆钢铁贸易有限公司，承兑人为深圳光耀投资有限公司。票据金额30000,3个月后票据到期，到期日进行承兑；</w:t>
      </w:r>
      <w:r>
        <w:rPr>
          <w:rFonts w:hint="eastAsia" w:ascii="仿宋_GB2312" w:hAnsi="仿宋_GB2312" w:eastAsia="仿宋_GB2312" w:cs="仿宋_GB2312"/>
          <w:color w:val="000000"/>
          <w:sz w:val="24"/>
          <w:shd w:val="clear" w:color="auto" w:fill="FFFFFF"/>
        </w:rPr>
        <w:br w:type="textWrapping"/>
      </w:r>
      <w:r>
        <w:rPr>
          <w:rFonts w:hint="eastAsia" w:ascii="仿宋_GB2312" w:hAnsi="仿宋_GB2312" w:eastAsia="仿宋_GB2312" w:cs="仿宋_GB2312"/>
          <w:color w:val="000000"/>
          <w:sz w:val="24"/>
          <w:shd w:val="clear" w:color="auto" w:fill="FFFFFF"/>
        </w:rPr>
        <w:t>（2）完成票据贴现业务，首先进行贴现登记，贴现利率为6‰，贴现日期为到期日当天，且登记之后，票据已经放款，放款日期为到期日当天，放款金额等于贴现余额；</w:t>
      </w:r>
      <w:r>
        <w:rPr>
          <w:rFonts w:hint="eastAsia" w:ascii="仿宋_GB2312" w:hAnsi="仿宋_GB2312" w:eastAsia="仿宋_GB2312" w:cs="仿宋_GB2312"/>
          <w:color w:val="000000"/>
          <w:sz w:val="24"/>
          <w:shd w:val="clear" w:color="auto" w:fill="FFFFFF"/>
        </w:rPr>
        <w:br w:type="textWrapping"/>
      </w:r>
      <w:r>
        <w:rPr>
          <w:rFonts w:hint="eastAsia" w:ascii="仿宋_GB2312" w:hAnsi="仿宋_GB2312" w:eastAsia="仿宋_GB2312" w:cs="仿宋_GB2312"/>
          <w:color w:val="000000"/>
          <w:sz w:val="24"/>
          <w:shd w:val="clear" w:color="auto" w:fill="FFFFFF"/>
        </w:rPr>
        <w:t>（3）完成票据转贴现业务，进行转贴现登记，转贴现利率为8‰，转贴现日期为到期日当天，贴入行行号为 103584000324，中国农业银行股份有限公司深圳科技园支行；</w:t>
      </w:r>
      <w:r>
        <w:rPr>
          <w:rFonts w:hint="eastAsia" w:ascii="仿宋_GB2312" w:hAnsi="仿宋_GB2312" w:eastAsia="仿宋_GB2312" w:cs="仿宋_GB2312"/>
          <w:color w:val="000000"/>
          <w:sz w:val="24"/>
          <w:shd w:val="clear" w:color="auto" w:fill="FFFFFF"/>
        </w:rPr>
        <w:br w:type="textWrapping"/>
      </w:r>
      <w:r>
        <w:rPr>
          <w:rFonts w:hint="eastAsia" w:ascii="仿宋_GB2312" w:hAnsi="仿宋_GB2312" w:eastAsia="仿宋_GB2312" w:cs="仿宋_GB2312"/>
          <w:color w:val="000000"/>
          <w:sz w:val="24"/>
          <w:shd w:val="clear" w:color="auto" w:fill="FFFFFF"/>
        </w:rPr>
        <w:t>（4）票据进行了贴现类型为卖断转贴的交易，我行为其办理贴现转出业务，卖断转贴日期为到期日当天，转回日期为到期日当天；</w:t>
      </w:r>
      <w:r>
        <w:rPr>
          <w:rFonts w:hint="eastAsia" w:ascii="仿宋_GB2312" w:hAnsi="仿宋_GB2312" w:eastAsia="仿宋_GB2312" w:cs="仿宋_GB2312"/>
          <w:color w:val="000000"/>
          <w:sz w:val="24"/>
          <w:shd w:val="clear" w:color="auto" w:fill="FFFFFF"/>
        </w:rPr>
        <w:br w:type="textWrapping"/>
      </w:r>
      <w:r>
        <w:rPr>
          <w:rFonts w:hint="eastAsia" w:ascii="仿宋_GB2312" w:hAnsi="仿宋_GB2312" w:eastAsia="仿宋_GB2312" w:cs="仿宋_GB2312"/>
          <w:color w:val="000000"/>
          <w:sz w:val="24"/>
          <w:shd w:val="clear" w:color="auto" w:fill="FFFFFF"/>
        </w:rPr>
        <w:t>（5）将转出贴现进行转回操作，我行为办理已转出贴现转回业务，转回类型为核销；</w:t>
      </w:r>
      <w:r>
        <w:rPr>
          <w:rFonts w:hint="eastAsia" w:ascii="仿宋_GB2312" w:hAnsi="仿宋_GB2312" w:eastAsia="仿宋_GB2312" w:cs="仿宋_GB2312"/>
          <w:color w:val="000000"/>
          <w:sz w:val="24"/>
          <w:shd w:val="clear" w:color="auto" w:fill="FFFFFF"/>
        </w:rPr>
        <w:br w:type="textWrapping"/>
      </w:r>
      <w:r>
        <w:rPr>
          <w:rFonts w:hint="eastAsia" w:ascii="仿宋_GB2312" w:hAnsi="仿宋_GB2312" w:eastAsia="仿宋_GB2312" w:cs="仿宋_GB2312"/>
          <w:color w:val="000000"/>
          <w:sz w:val="24"/>
          <w:shd w:val="clear" w:color="auto" w:fill="FFFFFF"/>
        </w:rPr>
        <w:t>（6）中国农业银行股份有限公司深圳科技园支行因资金周转，再次将此张票据贴现给中国人民银行深圳支行，再贴现利率为5‰，再贴现日期为到期日当天；</w:t>
      </w:r>
      <w:r>
        <w:rPr>
          <w:rFonts w:hint="eastAsia" w:ascii="仿宋_GB2312" w:hAnsi="仿宋_GB2312" w:eastAsia="仿宋_GB2312" w:cs="仿宋_GB2312"/>
          <w:color w:val="000000"/>
          <w:sz w:val="24"/>
          <w:shd w:val="clear" w:color="auto" w:fill="FFFFFF"/>
        </w:rPr>
        <w:br w:type="textWrapping"/>
      </w:r>
      <w:r>
        <w:rPr>
          <w:rFonts w:hint="eastAsia" w:ascii="仿宋_GB2312" w:hAnsi="仿宋_GB2312" w:eastAsia="仿宋_GB2312" w:cs="仿宋_GB2312"/>
          <w:color w:val="000000"/>
          <w:sz w:val="24"/>
          <w:shd w:val="clear" w:color="auto" w:fill="FFFFFF"/>
        </w:rPr>
        <w:t>（7）再贴现登记之后的票据进行回购再贴，以及回购再贴之后的票据进行转回交易，我行首先为其办理贴现转出业务，其次办理已转出贴现转回业务，转回类型为回购，且两次业务发生日期都为到期日当天；</w:t>
      </w:r>
      <w:r>
        <w:rPr>
          <w:rFonts w:hint="eastAsia" w:ascii="仿宋_GB2312" w:hAnsi="仿宋_GB2312" w:eastAsia="仿宋_GB2312" w:cs="仿宋_GB2312"/>
          <w:color w:val="000000"/>
          <w:sz w:val="24"/>
          <w:shd w:val="clear" w:color="auto" w:fill="FFFFFF"/>
        </w:rPr>
        <w:br w:type="textWrapping"/>
      </w:r>
      <w:r>
        <w:rPr>
          <w:rFonts w:hint="eastAsia" w:ascii="仿宋_GB2312" w:hAnsi="仿宋_GB2312" w:eastAsia="仿宋_GB2312" w:cs="仿宋_GB2312"/>
          <w:color w:val="000000"/>
          <w:sz w:val="24"/>
          <w:shd w:val="clear" w:color="auto" w:fill="FFFFFF"/>
        </w:rPr>
        <w:t>（8）票据进行委托收款之后，我行进行委托收款登记，委托收款日期为到期日当天；</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color w:val="000000"/>
          <w:sz w:val="24"/>
          <w:shd w:val="clear" w:color="auto" w:fill="FFFFFF"/>
        </w:rPr>
        <w:t>（9）因承兑人拒绝付款，票据进行拒付登记，拒付日期为委托收款当天。</w:t>
      </w:r>
    </w:p>
    <w:p>
      <w:pPr>
        <w:spacing w:line="360" w:lineRule="auto"/>
        <w:rPr>
          <w:rFonts w:ascii="仿宋_GB2312" w:hAnsi="仿宋_GB2312" w:eastAsia="仿宋_GB2312" w:cs="仿宋_GB2312"/>
          <w:sz w:val="24"/>
        </w:rPr>
      </w:pPr>
      <w:r>
        <w:rPr>
          <w:rFonts w:hint="eastAsia" w:ascii="仿宋_GB2312" w:hAnsi="仿宋_GB2312" w:eastAsia="仿宋_GB2312" w:cs="仿宋_GB2312"/>
          <w:b/>
          <w:bCs/>
          <w:sz w:val="24"/>
        </w:rPr>
        <w:t>任务14：</w:t>
      </w:r>
      <w:r>
        <w:rPr>
          <w:rFonts w:hint="eastAsia" w:ascii="仿宋_GB2312" w:hAnsi="仿宋_GB2312" w:eastAsia="仿宋_GB2312" w:cs="仿宋_GB2312"/>
          <w:sz w:val="24"/>
        </w:rPr>
        <w:t>大小额支付业务</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任务说明：</w:t>
      </w:r>
    </w:p>
    <w:p>
      <w:pPr>
        <w:numPr>
          <w:ilvl w:val="0"/>
          <w:numId w:val="5"/>
        </w:numPr>
        <w:spacing w:line="360" w:lineRule="auto"/>
        <w:rPr>
          <w:rFonts w:ascii="仿宋_GB2312" w:hAnsi="仿宋_GB2312" w:eastAsia="仿宋_GB2312" w:cs="仿宋_GB2312"/>
          <w:color w:val="000000"/>
          <w:kern w:val="0"/>
          <w:sz w:val="24"/>
          <w:shd w:val="clear" w:color="auto" w:fill="FFFFFF"/>
        </w:rPr>
      </w:pPr>
      <w:r>
        <w:rPr>
          <w:rFonts w:hint="eastAsia" w:ascii="仿宋_GB2312" w:hAnsi="仿宋_GB2312" w:eastAsia="仿宋_GB2312" w:cs="仿宋_GB2312"/>
          <w:color w:val="000000"/>
          <w:kern w:val="0"/>
          <w:sz w:val="24"/>
          <w:shd w:val="clear" w:color="auto" w:fill="FFFFFF"/>
        </w:rPr>
        <w:t>客户深圳光耀投资有限公司来我行办理小额普通借记业务，业务类型为普通借记，业务种类为支票截留业务，支付给深圳仲岳股份有限公司一笔3万元往来款，付款人深圳光耀投资有限公司，账户类型为有卡支付，接收行号101684000604；</w:t>
      </w:r>
    </w:p>
    <w:p>
      <w:pPr>
        <w:numPr>
          <w:ilvl w:val="0"/>
          <w:numId w:val="5"/>
        </w:numPr>
        <w:spacing w:line="360" w:lineRule="auto"/>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shd w:val="clear" w:color="auto" w:fill="FFFFFF"/>
        </w:rPr>
        <w:t>客户深圳仲岳股份有限公司来我行办理小额定期贷记业务，业务类型定期贷记，支付两笔劳务费给深圳光耀投资有限公司和深圳南庆钢铁贸易有限公司，总金额3万元，付款人账户类型为有卡支付，通过转账的方式支付手续费。其中深圳光耀投资有限公司涉及金额2.5万元，深圳南庆钢铁贸易有限公司金额为5000元，且两家公司的接收行号均为101684000604；</w:t>
      </w:r>
    </w:p>
    <w:p>
      <w:pPr>
        <w:numPr>
          <w:ilvl w:val="0"/>
          <w:numId w:val="5"/>
        </w:numPr>
        <w:spacing w:line="360" w:lineRule="auto"/>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shd w:val="clear" w:color="auto" w:fill="FFFFFF"/>
        </w:rPr>
        <w:t>客户深圳南庆钢铁贸易有限公司来我行办理小额定期借记业务，业务类型为定期借记，收入水费1笔，金额500元，收款人账户类型为无卡支付，付款单位为深圳光耀投资有限公司，接收行号为101684000604。</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任务15：</w:t>
      </w:r>
      <w:r>
        <w:rPr>
          <w:rFonts w:hint="eastAsia" w:ascii="仿宋_GB2312" w:hAnsi="仿宋_GB2312" w:eastAsia="仿宋_GB2312" w:cs="仿宋_GB2312"/>
          <w:sz w:val="24"/>
        </w:rPr>
        <w:t>本票/汇票业务</w:t>
      </w:r>
    </w:p>
    <w:p>
      <w:pPr>
        <w:spacing w:line="360" w:lineRule="auto"/>
        <w:rPr>
          <w:rFonts w:ascii="仿宋_GB2312" w:hAnsi="仿宋_GB2312" w:eastAsia="仿宋_GB2312" w:cs="仿宋_GB2312"/>
          <w:sz w:val="24"/>
        </w:rPr>
      </w:pPr>
      <w:r>
        <w:rPr>
          <w:rFonts w:hint="eastAsia" w:ascii="仿宋_GB2312" w:hAnsi="仿宋_GB2312" w:eastAsia="仿宋_GB2312" w:cs="仿宋_GB2312"/>
          <w:b/>
          <w:bCs/>
          <w:sz w:val="24"/>
        </w:rPr>
        <w:t>任务说明：</w:t>
      </w:r>
    </w:p>
    <w:p>
      <w:pPr>
        <w:numPr>
          <w:ilvl w:val="0"/>
          <w:numId w:val="6"/>
        </w:numPr>
        <w:spacing w:line="360" w:lineRule="auto"/>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深圳蓝旗投资有限公司签发了一张可转让本票，付款账号为深圳蓝旗投资有限公司，付款类型为有卡折支付，收款人为深圳新银贸易有限公司，出票金额为5000元，手续费收费方式为现金；</w:t>
      </w:r>
      <w:r>
        <w:rPr>
          <w:rFonts w:hint="eastAsia" w:ascii="仿宋_GB2312" w:hAnsi="仿宋_GB2312" w:eastAsia="仿宋_GB2312" w:cs="仿宋_GB2312"/>
          <w:color w:val="000000"/>
          <w:sz w:val="24"/>
          <w:shd w:val="clear" w:color="auto" w:fill="FFFFFF"/>
        </w:rPr>
        <w:br w:type="textWrapping"/>
      </w:r>
      <w:r>
        <w:rPr>
          <w:rFonts w:hint="eastAsia" w:ascii="仿宋_GB2312" w:hAnsi="仿宋_GB2312" w:eastAsia="仿宋_GB2312" w:cs="仿宋_GB2312"/>
          <w:color w:val="000000"/>
          <w:sz w:val="24"/>
          <w:shd w:val="clear" w:color="auto" w:fill="FFFFFF"/>
        </w:rPr>
        <w:t>（2）深圳新银贸易有限公司财务来我行兑付本票，持票人账号为深圳新银贸易有限公司基本户账号，提示付款日期为出票日之后的第15天，兑付类型为正常兑付；</w:t>
      </w:r>
    </w:p>
    <w:p>
      <w:pPr>
        <w:numPr>
          <w:ilvl w:val="0"/>
          <w:numId w:val="7"/>
        </w:numPr>
        <w:spacing w:line="360" w:lineRule="auto"/>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深圳蓝旗投资有限公司</w:t>
      </w:r>
      <w:r>
        <w:rPr>
          <w:rFonts w:hint="eastAsia" w:ascii="仿宋_GB2312" w:hAnsi="仿宋_GB2312" w:eastAsia="仿宋_GB2312" w:cs="仿宋_GB2312"/>
          <w:color w:val="000000"/>
          <w:kern w:val="0"/>
          <w:sz w:val="24"/>
          <w:shd w:val="clear" w:color="auto" w:fill="FFFFFF"/>
        </w:rPr>
        <w:t>签发了一张现金汇票，转让标志为不可再转让，付款账号为</w:t>
      </w:r>
      <w:r>
        <w:rPr>
          <w:rFonts w:hint="eastAsia" w:ascii="仿宋_GB2312" w:hAnsi="仿宋_GB2312" w:eastAsia="仿宋_GB2312" w:cs="仿宋_GB2312"/>
          <w:color w:val="000000"/>
          <w:sz w:val="24"/>
          <w:shd w:val="clear" w:color="auto" w:fill="FFFFFF"/>
        </w:rPr>
        <w:t>深圳蓝旗投资有限公司基本账户</w:t>
      </w:r>
      <w:r>
        <w:rPr>
          <w:rFonts w:hint="eastAsia" w:ascii="仿宋_GB2312" w:hAnsi="仿宋_GB2312" w:eastAsia="仿宋_GB2312" w:cs="仿宋_GB2312"/>
          <w:color w:val="000000"/>
          <w:kern w:val="0"/>
          <w:sz w:val="24"/>
          <w:shd w:val="clear" w:color="auto" w:fill="FFFFFF"/>
        </w:rPr>
        <w:t>，付款类型为无卡折支付,收款账号为刘震的借记卡账号。出票金额10000元，手续费收费方式为转账；</w:t>
      </w:r>
    </w:p>
    <w:p>
      <w:pPr>
        <w:numPr>
          <w:ilvl w:val="0"/>
          <w:numId w:val="7"/>
        </w:numPr>
        <w:spacing w:line="360" w:lineRule="auto"/>
        <w:rPr>
          <w:rFonts w:ascii="仿宋_GB2312" w:hAnsi="仿宋_GB2312" w:eastAsia="仿宋_GB2312" w:cs="仿宋_GB2312"/>
          <w:b/>
          <w:bCs/>
          <w:sz w:val="24"/>
        </w:rPr>
      </w:pPr>
      <w:r>
        <w:rPr>
          <w:rFonts w:hint="eastAsia" w:ascii="仿宋_GB2312" w:hAnsi="仿宋_GB2312" w:eastAsia="仿宋_GB2312" w:cs="仿宋_GB2312"/>
          <w:color w:val="000000"/>
          <w:sz w:val="24"/>
          <w:shd w:val="clear" w:color="auto" w:fill="FFFFFF"/>
        </w:rPr>
        <w:t>刘震来我行兑付现金汇票，持票人</w:t>
      </w:r>
      <w:r>
        <w:rPr>
          <w:rFonts w:hint="eastAsia" w:ascii="仿宋_GB2312" w:hAnsi="仿宋_GB2312" w:eastAsia="仿宋_GB2312" w:cs="仿宋_GB2312"/>
          <w:color w:val="000000"/>
          <w:kern w:val="0"/>
          <w:sz w:val="24"/>
          <w:shd w:val="clear" w:color="auto" w:fill="FFFFFF"/>
        </w:rPr>
        <w:t>账号为刘震的借记卡账号，提示付款日期为出票日之后第30天，兑付类型为挂失兑付，挂失止付编码0001。</w:t>
      </w:r>
    </w:p>
    <w:p>
      <w:pPr>
        <w:spacing w:line="360" w:lineRule="auto"/>
        <w:rPr>
          <w:rFonts w:ascii="仿宋_GB2312" w:hAnsi="仿宋_GB2312" w:eastAsia="仿宋_GB2312" w:cs="仿宋_GB2312"/>
          <w:sz w:val="24"/>
        </w:rPr>
      </w:pPr>
      <w:r>
        <w:rPr>
          <w:rFonts w:hint="eastAsia" w:ascii="仿宋_GB2312" w:hAnsi="仿宋_GB2312" w:eastAsia="仿宋_GB2312" w:cs="仿宋_GB2312"/>
          <w:b/>
          <w:bCs/>
          <w:sz w:val="24"/>
        </w:rPr>
        <w:t>任务16：</w:t>
      </w:r>
      <w:r>
        <w:rPr>
          <w:rFonts w:hint="eastAsia" w:ascii="仿宋_GB2312" w:hAnsi="仿宋_GB2312" w:eastAsia="仿宋_GB2312" w:cs="仿宋_GB2312"/>
          <w:sz w:val="24"/>
        </w:rPr>
        <w:t>委托收款业务</w:t>
      </w:r>
    </w:p>
    <w:p>
      <w:pPr>
        <w:spacing w:line="360" w:lineRule="auto"/>
        <w:rPr>
          <w:rFonts w:ascii="仿宋_GB2312" w:hAnsi="仿宋_GB2312" w:eastAsia="仿宋_GB2312" w:cs="仿宋_GB2312"/>
          <w:sz w:val="24"/>
        </w:rPr>
      </w:pPr>
      <w:r>
        <w:rPr>
          <w:rFonts w:hint="eastAsia" w:ascii="仿宋_GB2312" w:hAnsi="仿宋_GB2312" w:eastAsia="仿宋_GB2312" w:cs="仿宋_GB2312"/>
          <w:b/>
          <w:bCs/>
          <w:sz w:val="24"/>
        </w:rPr>
        <w:t>任务说明：</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color w:val="000000"/>
          <w:sz w:val="24"/>
          <w:shd w:val="clear" w:color="auto" w:fill="FFFFFF"/>
        </w:rPr>
        <w:t>（1）深圳南庆钢铁贸易有限公司作为收款人发出银行承兑汇票委托收款登记，到期日为1个月后，深圳光耀投资有限公司为付款人，委托收款金额为6万元，现金收取手续费，附寄张数1张，到期日当天进行托收；</w:t>
      </w:r>
      <w:r>
        <w:rPr>
          <w:rFonts w:hint="eastAsia" w:ascii="仿宋_GB2312" w:hAnsi="仿宋_GB2312" w:eastAsia="仿宋_GB2312" w:cs="仿宋_GB2312"/>
          <w:color w:val="000000"/>
          <w:sz w:val="24"/>
          <w:shd w:val="clear" w:color="auto" w:fill="FFFFFF"/>
        </w:rPr>
        <w:br w:type="textWrapping"/>
      </w:r>
      <w:r>
        <w:rPr>
          <w:rFonts w:hint="eastAsia" w:ascii="仿宋_GB2312" w:hAnsi="仿宋_GB2312" w:eastAsia="仿宋_GB2312" w:cs="仿宋_GB2312"/>
          <w:color w:val="000000"/>
          <w:sz w:val="24"/>
          <w:shd w:val="clear" w:color="auto" w:fill="FFFFFF"/>
        </w:rPr>
        <w:t>（2）深圳光耀投资有限公司全额支付了这笔款项，接收行号为104584001436；</w:t>
      </w:r>
      <w:r>
        <w:rPr>
          <w:rFonts w:hint="eastAsia" w:ascii="仿宋_GB2312" w:hAnsi="仿宋_GB2312" w:eastAsia="仿宋_GB2312" w:cs="仿宋_GB2312"/>
          <w:color w:val="000000"/>
          <w:sz w:val="24"/>
          <w:shd w:val="clear" w:color="auto" w:fill="FFFFFF"/>
        </w:rPr>
        <w:br w:type="textWrapping"/>
      </w:r>
      <w:r>
        <w:rPr>
          <w:rFonts w:hint="eastAsia" w:ascii="仿宋_GB2312" w:hAnsi="仿宋_GB2312" w:eastAsia="仿宋_GB2312" w:cs="仿宋_GB2312"/>
          <w:color w:val="000000"/>
          <w:sz w:val="24"/>
          <w:shd w:val="clear" w:color="auto" w:fill="FFFFFF"/>
        </w:rPr>
        <w:t>（3）银行对此笔大额委托收款进行复核；</w:t>
      </w:r>
      <w:r>
        <w:rPr>
          <w:rFonts w:hint="eastAsia" w:ascii="仿宋_GB2312" w:hAnsi="仿宋_GB2312" w:eastAsia="仿宋_GB2312" w:cs="仿宋_GB2312"/>
          <w:color w:val="000000"/>
          <w:sz w:val="24"/>
          <w:shd w:val="clear" w:color="auto" w:fill="FFFFFF"/>
        </w:rPr>
        <w:br w:type="textWrapping"/>
      </w:r>
      <w:r>
        <w:rPr>
          <w:rFonts w:hint="eastAsia" w:ascii="仿宋_GB2312" w:hAnsi="仿宋_GB2312" w:eastAsia="仿宋_GB2312" w:cs="仿宋_GB2312"/>
          <w:color w:val="000000"/>
          <w:sz w:val="24"/>
          <w:shd w:val="clear" w:color="auto" w:fill="FFFFFF"/>
        </w:rPr>
        <w:t>（4）银行根据此笔委托收款操作划回业务。</w:t>
      </w:r>
    </w:p>
    <w:p>
      <w:pPr>
        <w:spacing w:line="360" w:lineRule="auto"/>
        <w:rPr>
          <w:rFonts w:ascii="仿宋_GB2312" w:hAnsi="仿宋_GB2312" w:eastAsia="仿宋_GB2312" w:cs="仿宋_GB2312"/>
          <w:sz w:val="24"/>
        </w:rPr>
      </w:pPr>
      <w:r>
        <w:rPr>
          <w:rFonts w:hint="eastAsia" w:ascii="仿宋_GB2312" w:hAnsi="仿宋_GB2312" w:eastAsia="仿宋_GB2312" w:cs="仿宋_GB2312"/>
          <w:b/>
          <w:bCs/>
          <w:sz w:val="24"/>
        </w:rPr>
        <w:t>任务17：</w:t>
      </w:r>
      <w:r>
        <w:rPr>
          <w:rFonts w:hint="eastAsia" w:ascii="仿宋_GB2312" w:hAnsi="仿宋_GB2312" w:eastAsia="仿宋_GB2312" w:cs="仿宋_GB2312"/>
          <w:sz w:val="24"/>
        </w:rPr>
        <w:t>同城票据纸质交换业务</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任务说明：</w:t>
      </w:r>
    </w:p>
    <w:p>
      <w:pPr>
        <w:numPr>
          <w:ilvl w:val="0"/>
          <w:numId w:val="8"/>
        </w:numPr>
        <w:spacing w:line="360" w:lineRule="auto"/>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深圳南庆钢铁贸易有限公司持有一张付款人为深圳仲岳股份有限公司开出的票面金额为8000元的转账支票，我行通过“同城提出借方交易”为持票人深圳南庆钢铁贸易有限公司办理支票进账手续，对方交换号103584000324，录入之后进行复核；</w:t>
      </w:r>
      <w:r>
        <w:rPr>
          <w:rFonts w:hint="eastAsia" w:ascii="仿宋_GB2312" w:hAnsi="仿宋_GB2312" w:eastAsia="仿宋_GB2312" w:cs="仿宋_GB2312"/>
          <w:color w:val="000000"/>
          <w:sz w:val="24"/>
          <w:shd w:val="clear" w:color="auto" w:fill="FFFFFF"/>
        </w:rPr>
        <w:br w:type="textWrapping"/>
      </w:r>
      <w:r>
        <w:rPr>
          <w:rFonts w:hint="eastAsia" w:ascii="仿宋_GB2312" w:hAnsi="仿宋_GB2312" w:eastAsia="仿宋_GB2312" w:cs="仿宋_GB2312"/>
          <w:color w:val="000000"/>
          <w:sz w:val="24"/>
          <w:shd w:val="clear" w:color="auto" w:fill="FFFFFF"/>
        </w:rPr>
        <w:t>（2）深圳光耀投资有限公司开出一张票面金额为6000元的转账支票给深圳南庆钢铁贸易有限公司，深圳南庆钢铁贸易有限公司出纳持该支票到本行办理进帐手续。经票据交换中心交换后再传递到本支行网点，本行通过“同城提出贷方交易”按票面金额从深圳光耀投资有限公司账户中扣除对应金额，对方交换号为102584009198，录入之后进行复核。</w:t>
      </w:r>
    </w:p>
    <w:p>
      <w:pPr>
        <w:snapToGrid w:val="0"/>
        <w:spacing w:line="360" w:lineRule="auto"/>
        <w:rPr>
          <w:rFonts w:ascii="仿宋_GB2312" w:hAnsi="微软雅黑" w:eastAsia="仿宋_GB2312" w:cs="Arial"/>
          <w:sz w:val="24"/>
        </w:rPr>
      </w:pPr>
      <w:r>
        <w:rPr>
          <w:rFonts w:hint="eastAsia" w:ascii="仿宋_GB2312" w:hAnsi="微软雅黑" w:eastAsia="仿宋_GB2312" w:cs="Arial"/>
          <w:b/>
          <w:bCs/>
          <w:sz w:val="24"/>
        </w:rPr>
        <w:t>任务18</w:t>
      </w:r>
      <w:r>
        <w:rPr>
          <w:rFonts w:hint="eastAsia" w:ascii="仿宋_GB2312" w:hAnsi="微软雅黑" w:eastAsia="仿宋_GB2312" w:cs="Arial"/>
          <w:sz w:val="24"/>
        </w:rPr>
        <w:t>：日终处理</w:t>
      </w:r>
    </w:p>
    <w:p>
      <w:pPr>
        <w:snapToGrid w:val="0"/>
        <w:spacing w:line="360" w:lineRule="auto"/>
        <w:rPr>
          <w:rFonts w:ascii="仿宋_GB2312" w:hAnsi="微软雅黑" w:eastAsia="仿宋_GB2312" w:cs="Arial"/>
          <w:sz w:val="24"/>
        </w:rPr>
      </w:pPr>
      <w:r>
        <w:rPr>
          <w:rFonts w:hint="eastAsia" w:ascii="仿宋_GB2312" w:hAnsi="微软雅黑" w:eastAsia="仿宋_GB2312" w:cs="Arial"/>
          <w:b/>
          <w:bCs/>
          <w:sz w:val="24"/>
        </w:rPr>
        <w:t>任务说明</w:t>
      </w:r>
      <w:r>
        <w:rPr>
          <w:rFonts w:hint="eastAsia" w:ascii="仿宋_GB2312" w:hAnsi="微软雅黑" w:eastAsia="仿宋_GB2312" w:cs="Arial"/>
          <w:sz w:val="24"/>
        </w:rPr>
        <w:t>：</w:t>
      </w:r>
    </w:p>
    <w:p>
      <w:pPr>
        <w:snapToGrid w:val="0"/>
        <w:spacing w:line="360" w:lineRule="auto"/>
        <w:rPr>
          <w:rFonts w:ascii="仿宋_GB2312" w:hAnsi="仿宋_GB2312" w:eastAsia="仿宋_GB2312" w:cs="仿宋_GB2312"/>
          <w:color w:val="000000"/>
          <w:sz w:val="24"/>
          <w:shd w:val="clear" w:color="auto" w:fill="FFFFFF"/>
        </w:rPr>
      </w:pPr>
      <w:r>
        <w:rPr>
          <w:rFonts w:hint="eastAsia" w:ascii="仿宋_GB2312" w:hAnsi="微软雅黑" w:eastAsia="仿宋_GB2312" w:cs="Arial"/>
          <w:sz w:val="24"/>
        </w:rPr>
        <w:t xml:space="preserve">    银行网点营业结束后，柜员办理日终业务操作，进行现金及重要凭证入库。柜员将所有未使用的凭证均进行入库操作并将个人钱箱中的现金全部入库。</w:t>
      </w:r>
    </w:p>
    <w:p>
      <w:pPr>
        <w:pStyle w:val="2"/>
        <w:numPr>
          <w:ilvl w:val="0"/>
          <w:numId w:val="3"/>
        </w:numPr>
        <w:spacing w:line="360" w:lineRule="auto"/>
        <w:ind w:firstLine="560"/>
        <w:rPr>
          <w:rFonts w:ascii="仿宋_GB2312" w:hAnsi="仿宋_GB2312" w:eastAsia="仿宋_GB2312" w:cs="仿宋_GB2312"/>
          <w:sz w:val="24"/>
          <w:szCs w:val="24"/>
        </w:rPr>
      </w:pPr>
      <w:r>
        <w:rPr>
          <w:rFonts w:hint="eastAsia" w:ascii="仿宋_GB2312" w:hAnsi="仿宋_GB2312" w:eastAsia="仿宋_GB2312" w:cs="仿宋_GB2312"/>
          <w:sz w:val="24"/>
          <w:szCs w:val="24"/>
        </w:rPr>
        <w:t>金融营销技能</w:t>
      </w:r>
    </w:p>
    <w:p>
      <w:pPr>
        <w:snapToGrid w:val="0"/>
        <w:spacing w:line="360" w:lineRule="auto"/>
        <w:rPr>
          <w:rFonts w:ascii="仿宋_GB2312" w:hAnsi="微软雅黑" w:eastAsia="仿宋_GB2312" w:cs="Arial"/>
          <w:sz w:val="24"/>
        </w:rPr>
      </w:pPr>
      <w:r>
        <w:rPr>
          <w:rFonts w:hint="eastAsia" w:ascii="仿宋_GB2312" w:hAnsi="微软雅黑" w:eastAsia="仿宋_GB2312" w:cs="Arial"/>
          <w:b/>
          <w:bCs/>
          <w:sz w:val="24"/>
        </w:rPr>
        <w:t>任务1</w:t>
      </w:r>
      <w:r>
        <w:rPr>
          <w:rFonts w:hint="eastAsia" w:ascii="仿宋_GB2312" w:hAnsi="微软雅黑" w:eastAsia="仿宋_GB2312" w:cs="Arial"/>
          <w:sz w:val="24"/>
        </w:rPr>
        <w:t>：代理保险业务</w:t>
      </w:r>
    </w:p>
    <w:p>
      <w:pPr>
        <w:snapToGrid w:val="0"/>
        <w:spacing w:line="360" w:lineRule="auto"/>
        <w:rPr>
          <w:rFonts w:ascii="仿宋_GB2312" w:hAnsi="微软雅黑" w:eastAsia="仿宋_GB2312" w:cs="Arial"/>
          <w:sz w:val="24"/>
        </w:rPr>
      </w:pPr>
      <w:r>
        <w:rPr>
          <w:rFonts w:hint="eastAsia" w:ascii="仿宋_GB2312" w:hAnsi="微软雅黑" w:eastAsia="仿宋_GB2312" w:cs="Arial"/>
          <w:b/>
          <w:bCs/>
          <w:sz w:val="24"/>
        </w:rPr>
        <w:t>任务说明</w:t>
      </w:r>
      <w:r>
        <w:rPr>
          <w:rFonts w:hint="eastAsia" w:ascii="仿宋_GB2312" w:hAnsi="微软雅黑" w:eastAsia="仿宋_GB2312" w:cs="Arial"/>
          <w:sz w:val="24"/>
        </w:rPr>
        <w:t>：</w:t>
      </w:r>
    </w:p>
    <w:p>
      <w:pPr>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李东先生，45岁，某外企市场部高级管理人员。（身份证：440303197108048010）李先生希望能购买一份寿险作为人寿保障，于是来银行咨询本行代理的相关保险产品。通过银行柜员的介绍，王先生决定购买一份投资型的分红人寿保险，一次性缴纳保费30万元，保险金额为200万元，保障终身，年金领取起始年龄为50岁，领取频率为年领，红利分派方式为现金领取。</w:t>
      </w:r>
    </w:p>
    <w:p>
      <w:pPr>
        <w:snapToGrid w:val="0"/>
        <w:spacing w:line="360" w:lineRule="auto"/>
        <w:ind w:firstLine="480" w:firstLineChars="200"/>
        <w:rPr>
          <w:rFonts w:ascii="仿宋_GB2312" w:hAnsi="微软雅黑" w:eastAsia="仿宋_GB2312" w:cs="Arial"/>
          <w:sz w:val="24"/>
        </w:rPr>
      </w:pPr>
      <w:r>
        <w:rPr>
          <w:rFonts w:hint="eastAsia" w:ascii="仿宋_GB2312" w:hAnsi="仿宋_GB2312" w:eastAsia="仿宋_GB2312" w:cs="仿宋_GB2312"/>
          <w:sz w:val="24"/>
        </w:rPr>
        <w:t>银行柜员为王先生办理了银行储蓄业务，开立一个普通存折活期账户，并指导王先生填写保险投保单。王先生约定受益人为其女儿李敏（身份证：440303199201254268），受益份额100%。</w:t>
      </w:r>
    </w:p>
    <w:p>
      <w:pPr>
        <w:snapToGrid w:val="0"/>
        <w:spacing w:line="360" w:lineRule="auto"/>
        <w:rPr>
          <w:rFonts w:ascii="仿宋_GB2312" w:hAnsi="微软雅黑" w:eastAsia="仿宋_GB2312" w:cs="Arial"/>
          <w:sz w:val="24"/>
        </w:rPr>
      </w:pPr>
      <w:r>
        <w:rPr>
          <w:rFonts w:hint="eastAsia" w:ascii="仿宋_GB2312" w:hAnsi="微软雅黑" w:eastAsia="仿宋_GB2312" w:cs="Arial"/>
          <w:b/>
          <w:bCs/>
          <w:sz w:val="24"/>
        </w:rPr>
        <w:t>任务2</w:t>
      </w:r>
      <w:r>
        <w:rPr>
          <w:rFonts w:hint="eastAsia" w:ascii="仿宋_GB2312" w:hAnsi="微软雅黑" w:eastAsia="仿宋_GB2312" w:cs="Arial"/>
          <w:sz w:val="24"/>
        </w:rPr>
        <w:t>：个人理财业务</w:t>
      </w:r>
    </w:p>
    <w:p>
      <w:pPr>
        <w:spacing w:line="360" w:lineRule="auto"/>
        <w:rPr>
          <w:rFonts w:ascii="仿宋_GB2312" w:hAnsi="微软雅黑" w:eastAsia="仿宋_GB2312" w:cs="Arial"/>
          <w:sz w:val="24"/>
        </w:rPr>
      </w:pPr>
      <w:r>
        <w:rPr>
          <w:rFonts w:hint="eastAsia" w:ascii="仿宋_GB2312" w:hAnsi="微软雅黑" w:eastAsia="仿宋_GB2312" w:cs="Arial"/>
          <w:b/>
          <w:bCs/>
          <w:sz w:val="24"/>
        </w:rPr>
        <w:t>任务说明</w:t>
      </w:r>
      <w:r>
        <w:rPr>
          <w:rFonts w:hint="eastAsia" w:ascii="仿宋_GB2312" w:hAnsi="微软雅黑" w:eastAsia="仿宋_GB2312" w:cs="Arial"/>
          <w:sz w:val="24"/>
        </w:rPr>
        <w:t>：</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客户信息：吴敏，30岁，大学毕业，国企高管。家庭成员：丈夫王思明，35岁，大学毕业，公务员；女儿王丽，6岁，在深圳外国语小学读书。家庭地址：深圳市南山区西丽花园5栋223号；电话号码：13808551261。</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吴小姐家庭的收入和资产状况：吴小姐当前每月税前工资为25000元，税前年终奖为200000元。王先生每月的税后工资为13000元，每年的税后稿酬收入约为5000元。现在居住的房子购买于2013年，现价2860000元；夫妻俩拥有一辆现价为450000元的轿车。吴小姐在2年前分别以300000元和250000购买了30000股某上市A股票和12000股B股票，现在股票账户中的A股票金额已经增加了14%，B股票的金额已经上涨了10%。现家庭中有现金20000元，活期存款85000元，2年前购买的3年期定期存款60000元。</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吴小姐家庭的支出情况如下：当前居住的房子购买于2013年1月，至今房子市值已上涨了20%。首付4成，其余采用商业贷款。贷款利率为7.5%，贷款期限为15年，还款方式为等额本息，从购买次月开始还款。全家平均每月的日常生活支出为12000元；每年的医疗费用和汽车费用分别为3000元和6000元；夫妻俩每年的旅行费用约为30000元；吴小姐在工作之余参加的培训班，每年的费用为8500元；王先生每年花在健身房的费用约为7000元。</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要求：1.判断吴小姐家庭所处生命周期</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2.编制家庭资产负债表</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          3.分析吴小姐家庭财务比率</w:t>
      </w:r>
    </w:p>
    <w:p>
      <w:pPr>
        <w:spacing w:line="360" w:lineRule="auto"/>
        <w:rPr>
          <w:rFonts w:ascii="仿宋_GB2312" w:hAnsi="仿宋_GB2312" w:eastAsia="仿宋_GB2312" w:cs="仿宋_GB2312"/>
          <w:sz w:val="24"/>
        </w:rPr>
      </w:pPr>
      <w:r>
        <w:rPr>
          <w:rFonts w:hint="eastAsia" w:ascii="仿宋_GB2312" w:hAnsi="仿宋_GB2312" w:eastAsia="仿宋_GB2312" w:cs="仿宋_GB2312"/>
          <w:b/>
          <w:bCs/>
          <w:sz w:val="24"/>
        </w:rPr>
        <w:t>任务3</w:t>
      </w:r>
      <w:r>
        <w:rPr>
          <w:rFonts w:hint="eastAsia" w:ascii="仿宋_GB2312" w:hAnsi="仿宋_GB2312" w:eastAsia="仿宋_GB2312" w:cs="仿宋_GB2312"/>
          <w:sz w:val="24"/>
        </w:rPr>
        <w:t>：金融产品营销</w:t>
      </w:r>
    </w:p>
    <w:p>
      <w:pPr>
        <w:spacing w:line="360" w:lineRule="auto"/>
        <w:rPr>
          <w:rFonts w:ascii="仿宋_GB2312" w:hAnsi="仿宋_GB2312" w:eastAsia="仿宋_GB2312" w:cs="仿宋_GB2312"/>
          <w:sz w:val="24"/>
        </w:rPr>
      </w:pPr>
      <w:r>
        <w:rPr>
          <w:rFonts w:hint="eastAsia" w:ascii="仿宋_GB2312" w:hAnsi="仿宋_GB2312" w:eastAsia="仿宋_GB2312" w:cs="仿宋_GB2312"/>
          <w:b/>
          <w:bCs/>
          <w:sz w:val="24"/>
        </w:rPr>
        <w:t>任务说明</w:t>
      </w:r>
      <w:r>
        <w:rPr>
          <w:rFonts w:hint="eastAsia" w:ascii="仿宋_GB2312" w:hAnsi="仿宋_GB2312" w:eastAsia="仿宋_GB2312" w:cs="仿宋_GB2312"/>
          <w:sz w:val="24"/>
        </w:rPr>
        <w:t>：系统设定100种金融理财产品，产品类型包含债券、股票型基金、保险理财产品、期货理财产品等，并提供每种产品的详细说明及多个不同风险类型的目标客户资料。</w:t>
      </w:r>
    </w:p>
    <w:p>
      <w:pPr>
        <w:spacing w:line="360" w:lineRule="auto"/>
        <w:rPr>
          <w:rFonts w:ascii="仿宋_GB2312" w:hAnsi="仿宋_GB2312" w:eastAsia="仿宋_GB2312" w:cs="仿宋_GB2312"/>
          <w:sz w:val="24"/>
        </w:rPr>
      </w:pPr>
      <w:r>
        <w:rPr>
          <w:rFonts w:hint="eastAsia" w:ascii="仿宋_GB2312" w:hAnsi="仿宋_GB2312" w:eastAsia="仿宋_GB2312" w:cs="仿宋_GB2312"/>
          <w:b/>
          <w:bCs/>
          <w:sz w:val="24"/>
        </w:rPr>
        <w:t>任务要求</w:t>
      </w:r>
      <w:r>
        <w:rPr>
          <w:rFonts w:hint="eastAsia" w:ascii="仿宋_GB2312" w:hAnsi="仿宋_GB2312" w:eastAsia="仿宋_GB2312" w:cs="仿宋_GB2312"/>
          <w:sz w:val="24"/>
        </w:rPr>
        <w:t>：考核参赛选手对金融产品风险情况的分析与判断及金融产品营销推广能力，要求其根据金融理财产品的风险特性，将所有金融产品按风险类型进行分类，并根据目标客户的风险偏好推荐相关的理财产品，设计投资组合。</w:t>
      </w:r>
    </w:p>
    <w:p>
      <w:pPr>
        <w:pStyle w:val="2"/>
        <w:numPr>
          <w:ilvl w:val="0"/>
          <w:numId w:val="3"/>
        </w:numPr>
        <w:spacing w:line="360" w:lineRule="auto"/>
        <w:ind w:firstLine="560"/>
        <w:rPr>
          <w:rFonts w:ascii="仿宋_GB2312" w:hAnsi="仿宋_GB2312" w:eastAsia="仿宋_GB2312" w:cs="仿宋_GB2312"/>
          <w:sz w:val="24"/>
          <w:szCs w:val="24"/>
        </w:rPr>
      </w:pPr>
      <w:r>
        <w:rPr>
          <w:rFonts w:hint="eastAsia" w:ascii="仿宋_GB2312" w:hAnsi="仿宋_GB2312" w:eastAsia="仿宋_GB2312" w:cs="仿宋_GB2312"/>
          <w:sz w:val="24"/>
          <w:szCs w:val="24"/>
        </w:rPr>
        <w:t>票据业务处理</w:t>
      </w:r>
    </w:p>
    <w:p>
      <w:pPr>
        <w:spacing w:line="360" w:lineRule="auto"/>
        <w:rPr>
          <w:rFonts w:ascii="仿宋_GB2312" w:hAnsi="仿宋_GB2312" w:eastAsia="仿宋_GB2312" w:cs="仿宋_GB2312"/>
          <w:sz w:val="24"/>
        </w:rPr>
      </w:pPr>
      <w:r>
        <w:rPr>
          <w:rFonts w:hint="eastAsia" w:ascii="仿宋_GB2312" w:hAnsi="仿宋_GB2312" w:eastAsia="仿宋_GB2312" w:cs="仿宋_GB2312"/>
          <w:b/>
          <w:bCs/>
          <w:sz w:val="24"/>
        </w:rPr>
        <w:t>任务1：</w:t>
      </w:r>
      <w:r>
        <w:rPr>
          <w:rFonts w:hint="eastAsia" w:ascii="仿宋_GB2312" w:hAnsi="仿宋_GB2312" w:eastAsia="仿宋_GB2312" w:cs="仿宋_GB2312"/>
          <w:sz w:val="24"/>
        </w:rPr>
        <w:t>支票审核业务</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任务说明：</w:t>
      </w:r>
    </w:p>
    <w:p>
      <w:pPr>
        <w:spacing w:line="360" w:lineRule="auto"/>
        <w:ind w:firstLine="600"/>
        <w:rPr>
          <w:rFonts w:ascii="仿宋_GB2312" w:hAnsi="仿宋_GB2312" w:eastAsia="仿宋_GB2312" w:cs="仿宋_GB2312"/>
          <w:sz w:val="24"/>
        </w:rPr>
      </w:pPr>
      <w:r>
        <w:rPr>
          <w:rFonts w:hint="eastAsia" w:ascii="仿宋_GB2312" w:hAnsi="仿宋_GB2312" w:eastAsia="仿宋_GB2312" w:cs="仿宋_GB2312"/>
          <w:sz w:val="24"/>
        </w:rPr>
        <w:t>2012年11月01日，深圳正天信息技术有限公司出纳开出一张现金支票，支取备用金15000元。</w:t>
      </w:r>
    </w:p>
    <w:p>
      <w:pPr>
        <w:spacing w:line="360" w:lineRule="auto"/>
        <w:rPr>
          <w:rFonts w:ascii="仿宋_GB2312" w:hAnsi="仿宋_GB2312" w:eastAsia="仿宋_GB2312" w:cs="仿宋_GB2312"/>
          <w:b/>
          <w:bCs/>
          <w:sz w:val="24"/>
        </w:rPr>
      </w:pPr>
      <w:r>
        <w:drawing>
          <wp:inline distT="0" distB="0" distL="114300" distR="114300">
            <wp:extent cx="5269230" cy="2255520"/>
            <wp:effectExtent l="0" t="0" r="7620" b="1143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5269230" cy="2255520"/>
                    </a:xfrm>
                    <a:prstGeom prst="rect">
                      <a:avLst/>
                    </a:prstGeom>
                    <a:noFill/>
                    <a:ln w="9525">
                      <a:noFill/>
                    </a:ln>
                  </pic:spPr>
                </pic:pic>
              </a:graphicData>
            </a:graphic>
          </wp:inline>
        </w:drawing>
      </w:r>
      <w:r>
        <w:rPr>
          <w:rFonts w:hint="eastAsia" w:ascii="仿宋_GB2312" w:hAnsi="仿宋_GB2312" w:eastAsia="仿宋_GB2312" w:cs="仿宋_GB2312"/>
          <w:sz w:val="28"/>
          <w:szCs w:val="28"/>
        </w:rPr>
        <w:br w:type="textWrapping"/>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4"/>
        </w:rPr>
        <w:t>根据上述背景情况，审核票据填写是否正确</w:t>
      </w:r>
      <w:r>
        <w:rPr>
          <w:rFonts w:hint="eastAsia" w:ascii="仿宋_GB2312" w:hAnsi="仿宋_GB2312" w:eastAsia="仿宋_GB2312" w:cs="仿宋_GB2312"/>
          <w:color w:val="000000"/>
          <w:sz w:val="24"/>
        </w:rPr>
        <w:t>并选择不符点</w:t>
      </w:r>
      <w:r>
        <w:rPr>
          <w:rFonts w:hint="eastAsia" w:ascii="仿宋_GB2312" w:hAnsi="仿宋_GB2312" w:eastAsia="仿宋_GB2312" w:cs="仿宋_GB2312"/>
          <w:sz w:val="24"/>
        </w:rPr>
        <w:t>。</w:t>
      </w:r>
    </w:p>
    <w:p>
      <w:pPr>
        <w:spacing w:line="360" w:lineRule="auto"/>
        <w:rPr>
          <w:rFonts w:ascii="仿宋_GB2312" w:hAnsi="仿宋_GB2312" w:eastAsia="仿宋_GB2312" w:cs="仿宋_GB2312"/>
          <w:sz w:val="24"/>
        </w:rPr>
      </w:pPr>
      <w:r>
        <w:rPr>
          <w:rFonts w:hint="eastAsia" w:ascii="仿宋_GB2312" w:hAnsi="仿宋_GB2312" w:eastAsia="仿宋_GB2312" w:cs="仿宋_GB2312"/>
          <w:b/>
          <w:bCs/>
          <w:sz w:val="24"/>
        </w:rPr>
        <w:t>任务2：</w:t>
      </w:r>
      <w:r>
        <w:rPr>
          <w:rFonts w:hint="eastAsia" w:ascii="仿宋_GB2312" w:hAnsi="仿宋_GB2312" w:eastAsia="仿宋_GB2312" w:cs="仿宋_GB2312"/>
          <w:sz w:val="24"/>
        </w:rPr>
        <w:t>银承汇票审核业务</w:t>
      </w:r>
    </w:p>
    <w:p>
      <w:pPr>
        <w:spacing w:line="360" w:lineRule="auto"/>
        <w:rPr>
          <w:rFonts w:ascii="仿宋_GB2312" w:hAnsi="仿宋_GB2312" w:eastAsia="仿宋_GB2312" w:cs="仿宋_GB2312"/>
          <w:sz w:val="24"/>
        </w:rPr>
      </w:pPr>
      <w:r>
        <w:rPr>
          <w:rFonts w:hint="eastAsia" w:ascii="仿宋_GB2312" w:hAnsi="仿宋_GB2312" w:eastAsia="仿宋_GB2312" w:cs="仿宋_GB2312"/>
          <w:b/>
          <w:bCs/>
          <w:sz w:val="24"/>
        </w:rPr>
        <w:t>任务说明：</w:t>
      </w:r>
    </w:p>
    <w:p>
      <w:pPr>
        <w:spacing w:line="360" w:lineRule="auto"/>
        <w:ind w:firstLine="6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深圳正天信息技术有限公司（需方）和广州环宇天地贸易有限公司（供方）达成设备供需合同，合同总成交金额为185000万元，双方约定采用6个月期限银行承兑汇票结算货款。2013年3月8日，需方按要求开具了银行承兑汇票并交付给供方，供方按合同要求向需方供应设备，交易顺利完成。</w:t>
      </w:r>
    </w:p>
    <w:p>
      <w:pPr>
        <w:spacing w:line="360" w:lineRule="auto"/>
        <w:rPr>
          <w:rFonts w:ascii="仿宋_GB2312" w:hAnsi="仿宋_GB2312" w:eastAsia="仿宋_GB2312" w:cs="仿宋_GB2312"/>
          <w:b/>
          <w:bCs/>
          <w:sz w:val="24"/>
        </w:rPr>
      </w:pPr>
      <w:r>
        <w:drawing>
          <wp:inline distT="0" distB="0" distL="114300" distR="114300">
            <wp:extent cx="5272405" cy="3012440"/>
            <wp:effectExtent l="0" t="0" r="4445" b="1651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5272405" cy="3012440"/>
                    </a:xfrm>
                    <a:prstGeom prst="rect">
                      <a:avLst/>
                    </a:prstGeom>
                    <a:noFill/>
                    <a:ln w="9525">
                      <a:noFill/>
                    </a:ln>
                  </pic:spPr>
                </pic:pic>
              </a:graphicData>
            </a:graphic>
          </wp:inline>
        </w:drawing>
      </w:r>
      <w:r>
        <w:rPr>
          <w:rFonts w:hint="eastAsia" w:ascii="仿宋_GB2312" w:hAnsi="仿宋_GB2312" w:eastAsia="仿宋_GB2312" w:cs="仿宋_GB2312"/>
          <w:color w:val="000000"/>
          <w:sz w:val="30"/>
          <w:szCs w:val="30"/>
        </w:rPr>
        <w:br w:type="textWrapping"/>
      </w:r>
      <w:r>
        <w:rPr>
          <w:rFonts w:hint="eastAsia" w:ascii="仿宋_GB2312" w:hAnsi="仿宋_GB2312" w:eastAsia="仿宋_GB2312" w:cs="仿宋_GB2312"/>
          <w:color w:val="000000"/>
          <w:sz w:val="30"/>
          <w:szCs w:val="30"/>
        </w:rPr>
        <w:t>  </w:t>
      </w:r>
      <w:r>
        <w:rPr>
          <w:rFonts w:hint="eastAsia" w:ascii="仿宋_GB2312" w:hAnsi="仿宋_GB2312" w:eastAsia="仿宋_GB2312" w:cs="仿宋_GB2312"/>
          <w:color w:val="000000"/>
          <w:sz w:val="24"/>
        </w:rPr>
        <w:t>根据上述背景情况，审核出票是否正确并选择不符点。</w:t>
      </w:r>
    </w:p>
    <w:p>
      <w:pPr>
        <w:spacing w:line="360" w:lineRule="auto"/>
        <w:rPr>
          <w:rFonts w:ascii="仿宋_GB2312" w:hAnsi="仿宋_GB2312" w:eastAsia="仿宋_GB2312" w:cs="仿宋_GB2312"/>
          <w:sz w:val="24"/>
        </w:rPr>
      </w:pPr>
      <w:r>
        <w:rPr>
          <w:rFonts w:hint="eastAsia" w:ascii="仿宋_GB2312" w:hAnsi="仿宋_GB2312" w:eastAsia="仿宋_GB2312" w:cs="仿宋_GB2312"/>
          <w:b/>
          <w:bCs/>
          <w:sz w:val="24"/>
        </w:rPr>
        <w:t>任务3：</w:t>
      </w:r>
      <w:r>
        <w:rPr>
          <w:rFonts w:hint="eastAsia" w:ascii="仿宋_GB2312" w:hAnsi="仿宋_GB2312" w:eastAsia="仿宋_GB2312" w:cs="仿宋_GB2312"/>
          <w:sz w:val="24"/>
        </w:rPr>
        <w:t>现金支票提取备用金业务</w:t>
      </w:r>
    </w:p>
    <w:p>
      <w:pPr>
        <w:spacing w:line="360" w:lineRule="auto"/>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b/>
          <w:bCs/>
          <w:color w:val="000000"/>
          <w:sz w:val="24"/>
          <w:shd w:val="clear" w:color="auto" w:fill="FFFFFF"/>
        </w:rPr>
        <w:t>任务流程</w:t>
      </w:r>
      <w:r>
        <w:rPr>
          <w:rFonts w:hint="eastAsia" w:ascii="仿宋_GB2312" w:hAnsi="仿宋_GB2312" w:eastAsia="仿宋_GB2312" w:cs="仿宋_GB2312"/>
          <w:color w:val="000000"/>
          <w:sz w:val="24"/>
          <w:shd w:val="clear" w:color="auto" w:fill="FFFFFF"/>
        </w:rPr>
        <w:t>：</w:t>
      </w:r>
    </w:p>
    <w:p>
      <w:pPr>
        <w:spacing w:line="360" w:lineRule="auto"/>
        <w:rPr>
          <w:rFonts w:ascii="仿宋_GB2312" w:hAnsi="仿宋_GB2312" w:eastAsia="仿宋_GB2312" w:cs="仿宋_GB2312"/>
          <w:b/>
          <w:bCs/>
          <w:sz w:val="30"/>
          <w:szCs w:val="30"/>
        </w:rPr>
      </w:pPr>
      <w:r>
        <w:drawing>
          <wp:inline distT="0" distB="0" distL="114300" distR="114300">
            <wp:extent cx="5269865" cy="2816860"/>
            <wp:effectExtent l="0" t="0" r="6985" b="254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7"/>
                    <a:stretch>
                      <a:fillRect/>
                    </a:stretch>
                  </pic:blipFill>
                  <pic:spPr>
                    <a:xfrm>
                      <a:off x="0" y="0"/>
                      <a:ext cx="5269865" cy="2816860"/>
                    </a:xfrm>
                    <a:prstGeom prst="rect">
                      <a:avLst/>
                    </a:prstGeom>
                    <a:noFill/>
                    <a:ln w="9525">
                      <a:noFill/>
                    </a:ln>
                  </pic:spPr>
                </pic:pic>
              </a:graphicData>
            </a:graphic>
          </wp:inline>
        </w:drawing>
      </w:r>
    </w:p>
    <w:p>
      <w:pPr>
        <w:spacing w:line="360" w:lineRule="auto"/>
        <w:rPr>
          <w:rFonts w:ascii="仿宋_GB2312" w:hAnsi="仿宋_GB2312" w:eastAsia="仿宋_GB2312" w:cs="仿宋_GB2312"/>
          <w:color w:val="000000"/>
          <w:sz w:val="24"/>
        </w:rPr>
      </w:pPr>
      <w:r>
        <w:rPr>
          <w:rFonts w:hint="eastAsia" w:ascii="仿宋_GB2312" w:hAnsi="仿宋_GB2312" w:eastAsia="仿宋_GB2312" w:cs="仿宋_GB2312"/>
          <w:b/>
          <w:bCs/>
          <w:sz w:val="24"/>
        </w:rPr>
        <w:t>任务说明：</w:t>
      </w:r>
    </w:p>
    <w:p>
      <w:pPr>
        <w:spacing w:line="360" w:lineRule="auto"/>
        <w:rPr>
          <w:rFonts w:ascii="仿宋_GB2312" w:hAnsi="仿宋_GB2312" w:eastAsia="仿宋_GB2312" w:cs="仿宋_GB2312"/>
          <w:sz w:val="24"/>
          <w:shd w:val="clear" w:color="auto" w:fill="FFFFFF"/>
        </w:rPr>
      </w:pPr>
      <w:r>
        <w:rPr>
          <w:rFonts w:hint="eastAsia" w:ascii="仿宋_GB2312" w:hAnsi="仿宋_GB2312" w:eastAsia="仿宋_GB2312" w:cs="仿宋_GB2312"/>
          <w:sz w:val="24"/>
          <w:shd w:val="clear" w:color="auto" w:fill="FFFFFF"/>
        </w:rPr>
        <w:t xml:space="preserve">    2013年3月20日，临淄市图博智能工程有限公司（中国农业银行临淄支行）向其开户银行购买一本现金支票，当日 ，临淄市图博智能工程有限公司签发了一张金额为50000.00元的现金支票并从其开户银行提取备用金。切换不同业务角色，完成以下业务操作：</w:t>
      </w:r>
    </w:p>
    <w:p>
      <w:pPr>
        <w:spacing w:line="360" w:lineRule="auto"/>
        <w:rPr>
          <w:rFonts w:ascii="仿宋_GB2312" w:hAnsi="仿宋_GB2312" w:eastAsia="仿宋_GB2312" w:cs="仿宋_GB2312"/>
          <w:color w:val="000000"/>
          <w:sz w:val="24"/>
          <w:shd w:val="clear" w:color="auto" w:fill="FFFFFF"/>
        </w:rPr>
      </w:pPr>
      <w:r>
        <w:rPr>
          <w:rFonts w:hint="eastAsia" w:ascii="仿宋_GB2312" w:hAnsi="仿宋_GB2312" w:eastAsia="仿宋_GB2312" w:cs="仿宋_GB2312"/>
          <w:color w:val="000000"/>
          <w:sz w:val="24"/>
          <w:shd w:val="clear" w:color="auto" w:fill="FFFFFF"/>
        </w:rPr>
        <w:t>（1）企业出票人填写支票领购单（企业出票人-领购-填写支票领购单)；</w:t>
      </w:r>
      <w:r>
        <w:rPr>
          <w:rFonts w:hint="eastAsia" w:ascii="仿宋_GB2312" w:hAnsi="仿宋_GB2312" w:eastAsia="仿宋_GB2312" w:cs="仿宋_GB2312"/>
          <w:color w:val="000000"/>
          <w:sz w:val="24"/>
          <w:shd w:val="clear" w:color="auto" w:fill="FFFFFF"/>
        </w:rPr>
        <w:br w:type="textWrapping"/>
      </w:r>
      <w:r>
        <w:rPr>
          <w:rFonts w:hint="eastAsia" w:ascii="仿宋_GB2312" w:hAnsi="仿宋_GB2312" w:eastAsia="仿宋_GB2312" w:cs="仿宋_GB2312"/>
          <w:color w:val="000000"/>
          <w:sz w:val="24"/>
          <w:shd w:val="clear" w:color="auto" w:fill="FFFFFF"/>
        </w:rPr>
        <w:t>（2）银行付款人审核支票领购单（银行付款人-领购-选择数据-审核-填写支票号码）；</w:t>
      </w:r>
      <w:r>
        <w:rPr>
          <w:rFonts w:hint="eastAsia" w:ascii="仿宋_GB2312" w:hAnsi="仿宋_GB2312" w:eastAsia="仿宋_GB2312" w:cs="仿宋_GB2312"/>
          <w:color w:val="000000"/>
          <w:sz w:val="24"/>
          <w:shd w:val="clear" w:color="auto" w:fill="FFFFFF"/>
        </w:rPr>
        <w:br w:type="textWrapping"/>
      </w:r>
      <w:r>
        <w:rPr>
          <w:rFonts w:hint="eastAsia" w:ascii="仿宋_GB2312" w:hAnsi="仿宋_GB2312" w:eastAsia="仿宋_GB2312" w:cs="仿宋_GB2312"/>
          <w:color w:val="000000"/>
          <w:sz w:val="24"/>
          <w:shd w:val="clear" w:color="auto" w:fill="FFFFFF"/>
        </w:rPr>
        <w:t>（3）企业出票人选择对应未用支票进行出票，填写支票信息；</w:t>
      </w:r>
      <w:r>
        <w:rPr>
          <w:rFonts w:hint="eastAsia" w:ascii="仿宋_GB2312" w:hAnsi="仿宋_GB2312" w:eastAsia="仿宋_GB2312" w:cs="仿宋_GB2312"/>
          <w:color w:val="000000"/>
          <w:sz w:val="24"/>
          <w:shd w:val="clear" w:color="auto" w:fill="FFFFFF"/>
        </w:rPr>
        <w:br w:type="textWrapping"/>
      </w:r>
      <w:r>
        <w:rPr>
          <w:rFonts w:hint="eastAsia" w:ascii="仿宋_GB2312" w:hAnsi="仿宋_GB2312" w:eastAsia="仿宋_GB2312" w:cs="仿宋_GB2312"/>
          <w:color w:val="000000"/>
          <w:sz w:val="24"/>
          <w:shd w:val="clear" w:color="auto" w:fill="FFFFFF"/>
        </w:rPr>
        <w:t>（4）企业收款人进行兑付（由企业和银行双方完成）：</w:t>
      </w:r>
      <w:r>
        <w:rPr>
          <w:rFonts w:hint="eastAsia" w:ascii="仿宋_GB2312" w:hAnsi="仿宋_GB2312" w:eastAsia="仿宋_GB2312" w:cs="仿宋_GB2312"/>
          <w:color w:val="000000"/>
          <w:sz w:val="24"/>
          <w:shd w:val="clear" w:color="auto" w:fill="FFFFFF"/>
        </w:rPr>
        <w:br w:type="textWrapping"/>
      </w:r>
      <w:r>
        <w:rPr>
          <w:rFonts w:hint="eastAsia" w:ascii="仿宋_GB2312" w:hAnsi="仿宋_GB2312" w:eastAsia="仿宋_GB2312" w:cs="仿宋_GB2312"/>
          <w:color w:val="000000"/>
          <w:sz w:val="24"/>
          <w:shd w:val="clear" w:color="auto" w:fill="FFFFFF"/>
        </w:rPr>
        <w:t xml:space="preserve">     </w:t>
      </w:r>
      <w:r>
        <w:rPr>
          <w:rFonts w:hint="eastAsia" w:ascii="仿宋_GB2312" w:hAnsi="仿宋_GB2312" w:eastAsia="仿宋_GB2312" w:cs="仿宋_GB2312"/>
          <w:color w:val="000000"/>
          <w:sz w:val="24"/>
          <w:shd w:val="clear" w:color="auto" w:fill="FFFFFF"/>
        </w:rPr>
        <w:sym w:font="Wingdings" w:char="F081"/>
      </w:r>
      <w:r>
        <w:rPr>
          <w:rFonts w:hint="eastAsia" w:ascii="仿宋_GB2312" w:hAnsi="仿宋_GB2312" w:eastAsia="仿宋_GB2312" w:cs="仿宋_GB2312"/>
          <w:color w:val="000000"/>
          <w:sz w:val="24"/>
          <w:shd w:val="clear" w:color="auto" w:fill="FFFFFF"/>
        </w:rPr>
        <w:t>企业收款人填写进账单并在票据背面做背书给银行的处理后，提交到银行付款人处理；</w:t>
      </w:r>
      <w:r>
        <w:rPr>
          <w:rFonts w:hint="eastAsia" w:ascii="仿宋_GB2312" w:hAnsi="仿宋_GB2312" w:eastAsia="仿宋_GB2312" w:cs="仿宋_GB2312"/>
          <w:color w:val="000000"/>
          <w:sz w:val="24"/>
          <w:shd w:val="clear" w:color="auto" w:fill="FFFFFF"/>
        </w:rPr>
        <w:br w:type="textWrapping"/>
      </w:r>
      <w:r>
        <w:rPr>
          <w:rFonts w:hint="eastAsia" w:ascii="仿宋_GB2312" w:hAnsi="仿宋_GB2312" w:eastAsia="仿宋_GB2312" w:cs="仿宋_GB2312"/>
          <w:color w:val="000000"/>
          <w:sz w:val="24"/>
          <w:shd w:val="clear" w:color="auto" w:fill="FFFFFF"/>
        </w:rPr>
        <w:t xml:space="preserve">     </w:t>
      </w:r>
      <w:r>
        <w:rPr>
          <w:rFonts w:hint="eastAsia" w:ascii="仿宋_GB2312" w:hAnsi="仿宋_GB2312" w:eastAsia="仿宋_GB2312" w:cs="仿宋_GB2312"/>
          <w:color w:val="000000"/>
          <w:sz w:val="24"/>
          <w:shd w:val="clear" w:color="auto" w:fill="FFFFFF"/>
        </w:rPr>
        <w:sym w:font="Wingdings" w:char="F082"/>
      </w:r>
      <w:r>
        <w:rPr>
          <w:rFonts w:hint="eastAsia" w:ascii="仿宋_GB2312" w:hAnsi="仿宋_GB2312" w:eastAsia="仿宋_GB2312" w:cs="仿宋_GB2312"/>
          <w:color w:val="000000"/>
          <w:sz w:val="24"/>
          <w:shd w:val="clear" w:color="auto" w:fill="FFFFFF"/>
        </w:rPr>
        <w:t>切换角色：银行付款人找到对应的数据进行兑付审核。</w:t>
      </w:r>
    </w:p>
    <w:p>
      <w:pPr>
        <w:spacing w:line="360" w:lineRule="auto"/>
        <w:rPr>
          <w:sz w:val="24"/>
        </w:rPr>
      </w:pPr>
    </w:p>
    <w:p>
      <w:pPr>
        <w:spacing w:line="360" w:lineRule="auto"/>
        <w:rPr>
          <w:rFonts w:ascii="仿宋_GB2312" w:hAnsi="仿宋_GB2312" w:eastAsia="仿宋_GB2312" w:cs="仿宋_GB2312"/>
          <w:sz w:val="24"/>
        </w:rPr>
      </w:pPr>
      <w:r>
        <w:rPr>
          <w:rFonts w:hint="eastAsia" w:ascii="仿宋_GB2312" w:hAnsi="仿宋_GB2312" w:eastAsia="仿宋_GB2312" w:cs="仿宋_GB2312"/>
          <w:b/>
          <w:bCs/>
          <w:sz w:val="24"/>
        </w:rPr>
        <w:t>任务4：</w:t>
      </w:r>
      <w:r>
        <w:rPr>
          <w:rFonts w:hint="eastAsia" w:ascii="仿宋_GB2312" w:hAnsi="仿宋_GB2312" w:eastAsia="仿宋_GB2312" w:cs="仿宋_GB2312"/>
          <w:sz w:val="24"/>
        </w:rPr>
        <w:t>银行承兑汇票支付往来款业务</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任务流程：</w:t>
      </w:r>
    </w:p>
    <w:p>
      <w:pPr>
        <w:spacing w:line="360" w:lineRule="auto"/>
        <w:rPr>
          <w:rFonts w:ascii="仿宋_GB2312" w:hAnsi="仿宋_GB2312" w:eastAsia="仿宋_GB2312" w:cs="仿宋_GB2312"/>
          <w:b/>
          <w:bCs/>
          <w:sz w:val="30"/>
          <w:szCs w:val="30"/>
        </w:rPr>
      </w:pPr>
      <w:r>
        <w:drawing>
          <wp:inline distT="0" distB="0" distL="114300" distR="114300">
            <wp:extent cx="5269865" cy="2768600"/>
            <wp:effectExtent l="0" t="0" r="6985" b="1270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8"/>
                    <a:stretch>
                      <a:fillRect/>
                    </a:stretch>
                  </pic:blipFill>
                  <pic:spPr>
                    <a:xfrm>
                      <a:off x="0" y="0"/>
                      <a:ext cx="5269865" cy="2768600"/>
                    </a:xfrm>
                    <a:prstGeom prst="rect">
                      <a:avLst/>
                    </a:prstGeom>
                    <a:noFill/>
                    <a:ln w="9525">
                      <a:noFill/>
                    </a:ln>
                  </pic:spPr>
                </pic:pic>
              </a:graphicData>
            </a:graphic>
          </wp:inline>
        </w:drawing>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任务说明：</w:t>
      </w:r>
    </w:p>
    <w:p>
      <w:pPr>
        <w:spacing w:line="360" w:lineRule="auto"/>
        <w:rPr>
          <w:rFonts w:ascii="仿宋_GB2312" w:hAnsi="仿宋_GB2312" w:eastAsia="仿宋_GB2312" w:cs="仿宋_GB2312"/>
          <w:sz w:val="24"/>
          <w:shd w:val="clear" w:color="auto" w:fill="FFFFFF"/>
        </w:rPr>
      </w:pPr>
      <w:r>
        <w:rPr>
          <w:rFonts w:hint="eastAsia" w:ascii="仿宋_GB2312" w:hAnsi="仿宋_GB2312" w:eastAsia="仿宋_GB2312" w:cs="仿宋_GB2312"/>
          <w:sz w:val="24"/>
          <w:shd w:val="clear" w:color="auto" w:fill="FFFFFF"/>
        </w:rPr>
        <w:t xml:space="preserve">    九江市生态产业建设开发有限公司购买了广州市中恒建设有限公司货物，货款为1400000.00元，广州市中恒建设有限公司与九江市生态产业建设开发有限公司商定以银行承兑汇票结算方式支付货款。2013年3月20日，九江市生态产业建设开发有限公司按照要求到其开户行签发期限为3个月的银行承兑汇票，九江市生态产业建设开发有限公司将经过银行承兑的银行承兑汇票交予广州市中恒建设有限公司，广州市中恒建设有限公司在汇票到期后委托自己的开户行收取款项。切换不同业务角色，完成以下业务操作：</w:t>
      </w:r>
    </w:p>
    <w:p>
      <w:pPr>
        <w:numPr>
          <w:ilvl w:val="0"/>
          <w:numId w:val="9"/>
        </w:numPr>
        <w:spacing w:line="360" w:lineRule="auto"/>
        <w:rPr>
          <w:rFonts w:ascii="仿宋_GB2312" w:hAnsi="仿宋_GB2312" w:eastAsia="仿宋_GB2312" w:cs="仿宋_GB2312"/>
          <w:sz w:val="24"/>
          <w:shd w:val="clear" w:color="auto" w:fill="FFFFFF"/>
        </w:rPr>
      </w:pPr>
      <w:r>
        <w:rPr>
          <w:rFonts w:hint="eastAsia" w:ascii="仿宋_GB2312" w:hAnsi="仿宋_GB2312" w:eastAsia="仿宋_GB2312" w:cs="仿宋_GB2312"/>
          <w:sz w:val="24"/>
          <w:shd w:val="clear" w:color="auto" w:fill="FFFFFF"/>
        </w:rPr>
        <w:t>企业申请人填写出票申请书（企业申请人-出票申请-登记）</w:t>
      </w:r>
      <w:r>
        <w:rPr>
          <w:rFonts w:hint="eastAsia" w:ascii="仿宋_GB2312" w:hAnsi="仿宋_GB2312" w:eastAsia="仿宋_GB2312" w:cs="仿宋_GB2312"/>
          <w:sz w:val="24"/>
          <w:shd w:val="clear" w:color="auto" w:fill="FFFFFF"/>
        </w:rPr>
        <w:br w:type="textWrapping"/>
      </w:r>
      <w:r>
        <w:rPr>
          <w:rFonts w:hint="eastAsia" w:ascii="仿宋_GB2312" w:hAnsi="仿宋_GB2312" w:eastAsia="仿宋_GB2312" w:cs="仿宋_GB2312"/>
          <w:sz w:val="24"/>
          <w:shd w:val="clear" w:color="auto" w:fill="FFFFFF"/>
        </w:rPr>
        <w:t>（2）银行出票人出票填写票面信息（银行出票人-选择数据-出票）</w:t>
      </w:r>
      <w:r>
        <w:rPr>
          <w:rFonts w:hint="eastAsia" w:ascii="仿宋_GB2312" w:hAnsi="仿宋_GB2312" w:eastAsia="仿宋_GB2312" w:cs="仿宋_GB2312"/>
          <w:sz w:val="24"/>
          <w:shd w:val="clear" w:color="auto" w:fill="FFFFFF"/>
        </w:rPr>
        <w:br w:type="textWrapping"/>
      </w:r>
      <w:r>
        <w:rPr>
          <w:rFonts w:hint="eastAsia" w:ascii="仿宋_GB2312" w:hAnsi="仿宋_GB2312" w:eastAsia="仿宋_GB2312" w:cs="仿宋_GB2312"/>
          <w:sz w:val="24"/>
          <w:shd w:val="clear" w:color="auto" w:fill="FFFFFF"/>
        </w:rPr>
        <w:t>（3）企业申请人签立承兑协议（企业申请人-承兑-选择数据-填写承兑协议、出票人盖章，并在票面第二联签章）</w:t>
      </w:r>
      <w:r>
        <w:rPr>
          <w:rFonts w:hint="eastAsia" w:ascii="仿宋_GB2312" w:hAnsi="仿宋_GB2312" w:eastAsia="仿宋_GB2312" w:cs="仿宋_GB2312"/>
          <w:sz w:val="24"/>
          <w:shd w:val="clear" w:color="auto" w:fill="FFFFFF"/>
        </w:rPr>
        <w:br w:type="textWrapping"/>
      </w:r>
      <w:r>
        <w:rPr>
          <w:rFonts w:hint="eastAsia" w:ascii="仿宋_GB2312" w:hAnsi="仿宋_GB2312" w:eastAsia="仿宋_GB2312" w:cs="仿宋_GB2312"/>
          <w:sz w:val="24"/>
          <w:shd w:val="clear" w:color="auto" w:fill="FFFFFF"/>
        </w:rPr>
        <w:t>   签订承兑协议需勾选资料有：贷款卡、承兑协议、公司营业执照、法人身份证、资产负债表、损益表、交易合同；</w:t>
      </w:r>
      <w:r>
        <w:rPr>
          <w:rFonts w:hint="eastAsia" w:ascii="仿宋_GB2312" w:hAnsi="仿宋_GB2312" w:eastAsia="仿宋_GB2312" w:cs="仿宋_GB2312"/>
          <w:sz w:val="24"/>
          <w:shd w:val="clear" w:color="auto" w:fill="FFFFFF"/>
        </w:rPr>
        <w:br w:type="textWrapping"/>
      </w:r>
      <w:r>
        <w:rPr>
          <w:rFonts w:hint="eastAsia" w:ascii="仿宋_GB2312" w:hAnsi="仿宋_GB2312" w:eastAsia="仿宋_GB2312" w:cs="仿宋_GB2312"/>
          <w:sz w:val="24"/>
          <w:shd w:val="clear" w:color="auto" w:fill="FFFFFF"/>
        </w:rPr>
        <w:t>（4）银行承兑人盖承兑章（企业承兑人-承兑-选择数据-承兑协议承兑行章和票样第二联盖章）</w:t>
      </w:r>
      <w:r>
        <w:rPr>
          <w:rFonts w:hint="eastAsia" w:ascii="仿宋_GB2312" w:hAnsi="仿宋_GB2312" w:eastAsia="仿宋_GB2312" w:cs="仿宋_GB2312"/>
          <w:sz w:val="24"/>
          <w:shd w:val="clear" w:color="auto" w:fill="FFFFFF"/>
        </w:rPr>
        <w:br w:type="textWrapping"/>
      </w:r>
      <w:r>
        <w:rPr>
          <w:rFonts w:hint="eastAsia" w:ascii="仿宋_GB2312" w:hAnsi="仿宋_GB2312" w:eastAsia="仿宋_GB2312" w:cs="仿宋_GB2312"/>
          <w:sz w:val="24"/>
          <w:shd w:val="clear" w:color="auto" w:fill="FFFFFF"/>
        </w:rPr>
        <w:t>（5）企业收款人进行到期托收：</w:t>
      </w:r>
      <w:r>
        <w:rPr>
          <w:rFonts w:hint="eastAsia" w:ascii="仿宋_GB2312" w:hAnsi="仿宋_GB2312" w:eastAsia="仿宋_GB2312" w:cs="仿宋_GB2312"/>
          <w:sz w:val="24"/>
          <w:shd w:val="clear" w:color="auto" w:fill="FFFFFF"/>
        </w:rPr>
        <w:br w:type="textWrapping"/>
      </w:r>
      <w:r>
        <w:rPr>
          <w:rFonts w:hint="eastAsia" w:ascii="仿宋_GB2312" w:hAnsi="仿宋_GB2312" w:eastAsia="仿宋_GB2312" w:cs="仿宋_GB2312"/>
          <w:sz w:val="24"/>
          <w:shd w:val="clear" w:color="auto" w:fill="FFFFFF"/>
        </w:rPr>
        <w:sym w:font="Wingdings" w:char="F081"/>
      </w:r>
      <w:r>
        <w:rPr>
          <w:rFonts w:hint="eastAsia" w:ascii="仿宋_GB2312" w:hAnsi="仿宋_GB2312" w:eastAsia="仿宋_GB2312" w:cs="仿宋_GB2312"/>
          <w:sz w:val="24"/>
          <w:shd w:val="clear" w:color="auto" w:fill="FFFFFF"/>
        </w:rPr>
        <w:t>企业收款人选择数据-到期托收（填托收凭证、第一联签章）；</w:t>
      </w:r>
    </w:p>
    <w:p>
      <w:pPr>
        <w:spacing w:line="360" w:lineRule="auto"/>
        <w:rPr>
          <w:rFonts w:ascii="仿宋_GB2312" w:hAnsi="仿宋_GB2312" w:eastAsia="仿宋_GB2312" w:cs="仿宋_GB2312"/>
          <w:sz w:val="24"/>
          <w:shd w:val="clear" w:color="auto" w:fill="FFFFFF"/>
        </w:rPr>
      </w:pPr>
      <w:r>
        <w:rPr>
          <w:rFonts w:hint="eastAsia" w:ascii="仿宋_GB2312" w:hAnsi="仿宋_GB2312" w:eastAsia="仿宋_GB2312" w:cs="仿宋_GB2312"/>
          <w:sz w:val="24"/>
          <w:shd w:val="clear" w:color="auto" w:fill="FFFFFF"/>
        </w:rPr>
        <w:sym w:font="Wingdings" w:char="F082"/>
      </w:r>
      <w:r>
        <w:rPr>
          <w:rFonts w:hint="eastAsia" w:ascii="仿宋_GB2312" w:hAnsi="仿宋_GB2312" w:eastAsia="仿宋_GB2312" w:cs="仿宋_GB2312"/>
          <w:sz w:val="24"/>
          <w:shd w:val="clear" w:color="auto" w:fill="FFFFFF"/>
        </w:rPr>
        <w:t>切换角色：银行付款人进行托收凭证填写（第一联、第三联签章）；</w:t>
      </w:r>
      <w:r>
        <w:rPr>
          <w:rFonts w:hint="eastAsia" w:ascii="仿宋_GB2312" w:hAnsi="仿宋_GB2312" w:eastAsia="仿宋_GB2312" w:cs="仿宋_GB2312"/>
          <w:sz w:val="24"/>
          <w:shd w:val="clear" w:color="auto" w:fill="FFFFFF"/>
        </w:rPr>
        <w:br w:type="textWrapping"/>
      </w:r>
      <w:r>
        <w:rPr>
          <w:rFonts w:hint="eastAsia" w:ascii="仿宋_GB2312" w:hAnsi="仿宋_GB2312" w:eastAsia="仿宋_GB2312" w:cs="仿宋_GB2312"/>
          <w:sz w:val="24"/>
          <w:shd w:val="clear" w:color="auto" w:fill="FFFFFF"/>
        </w:rPr>
        <w:sym w:font="Wingdings" w:char="F083"/>
      </w:r>
      <w:r>
        <w:rPr>
          <w:rFonts w:hint="eastAsia" w:ascii="仿宋_GB2312" w:hAnsi="仿宋_GB2312" w:eastAsia="仿宋_GB2312" w:cs="仿宋_GB2312"/>
          <w:sz w:val="24"/>
          <w:shd w:val="clear" w:color="auto" w:fill="FFFFFF"/>
        </w:rPr>
        <w:t>切换角色：企业收款人做背书操作，把票据背书给银行。</w:t>
      </w:r>
    </w:p>
    <w:p>
      <w:pPr>
        <w:snapToGrid w:val="0"/>
        <w:spacing w:line="360" w:lineRule="auto"/>
        <w:ind w:left="420"/>
        <w:outlineLvl w:val="0"/>
        <w:rPr>
          <w:rFonts w:ascii="Arial Narrow" w:hAnsi="Arial Narrow" w:eastAsia="仿宋_GB2312" w:cs="Arial"/>
          <w:b/>
          <w:sz w:val="24"/>
        </w:rPr>
      </w:pPr>
      <w:r>
        <w:rPr>
          <w:rFonts w:hint="eastAsia" w:ascii="Arial Narrow" w:hAnsi="Arial Narrow" w:eastAsia="仿宋_GB2312" w:cs="Arial"/>
          <w:b/>
          <w:sz w:val="24"/>
        </w:rPr>
        <w:t>（四）评分细节</w:t>
      </w:r>
    </w:p>
    <w:p>
      <w:pPr>
        <w:snapToGrid w:val="0"/>
        <w:spacing w:line="360" w:lineRule="auto"/>
        <w:ind w:left="420"/>
        <w:outlineLvl w:val="0"/>
        <w:rPr>
          <w:rFonts w:ascii="Arial Narrow" w:hAnsi="Arial Narrow" w:eastAsia="仿宋_GB2312" w:cs="Arial"/>
          <w:b/>
          <w:sz w:val="24"/>
        </w:rPr>
      </w:pPr>
    </w:p>
    <w:p>
      <w:pPr>
        <w:snapToGrid w:val="0"/>
        <w:spacing w:line="360" w:lineRule="auto"/>
        <w:ind w:firstLine="480" w:firstLineChars="200"/>
        <w:rPr>
          <w:rFonts w:ascii="仿宋_GB2312" w:hAnsi="微软雅黑" w:eastAsia="仿宋_GB2312" w:cs="Arial"/>
          <w:sz w:val="24"/>
        </w:rPr>
      </w:pPr>
      <w:r>
        <w:rPr>
          <w:rFonts w:hint="eastAsia" w:ascii="仿宋_GB2312" w:hAnsi="微软雅黑" w:eastAsia="仿宋_GB2312" w:cs="Arial"/>
          <w:sz w:val="24"/>
        </w:rPr>
        <w:t>1.“银行从业知识”竞赛</w:t>
      </w:r>
    </w:p>
    <w:p>
      <w:pPr>
        <w:snapToGrid w:val="0"/>
        <w:spacing w:line="360" w:lineRule="auto"/>
        <w:ind w:firstLine="480" w:firstLineChars="200"/>
        <w:rPr>
          <w:rFonts w:ascii="仿宋_GB2312" w:hAnsi="微软雅黑" w:eastAsia="仿宋_GB2312" w:cs="Arial"/>
          <w:sz w:val="24"/>
        </w:rPr>
      </w:pPr>
    </w:p>
    <w:tbl>
      <w:tblPr>
        <w:tblStyle w:val="9"/>
        <w:tblW w:w="8946"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7"/>
        <w:gridCol w:w="1118"/>
        <w:gridCol w:w="1264"/>
        <w:gridCol w:w="2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87" w:type="dxa"/>
          </w:tcPr>
          <w:p>
            <w:pPr>
              <w:spacing w:line="360" w:lineRule="auto"/>
              <w:jc w:val="center"/>
              <w:rPr>
                <w:rFonts w:asciiTheme="majorEastAsia" w:hAnsiTheme="majorEastAsia" w:eastAsiaTheme="majorEastAsia" w:cstheme="majorEastAsia"/>
                <w:b/>
                <w:bCs/>
                <w:kern w:val="0"/>
                <w:szCs w:val="21"/>
              </w:rPr>
            </w:pPr>
            <w:r>
              <w:rPr>
                <w:rFonts w:hint="eastAsia" w:asciiTheme="majorEastAsia" w:hAnsiTheme="majorEastAsia" w:eastAsiaTheme="majorEastAsia" w:cstheme="majorEastAsia"/>
                <w:b/>
                <w:bCs/>
                <w:kern w:val="0"/>
                <w:szCs w:val="21"/>
              </w:rPr>
              <w:t>评分细节</w:t>
            </w:r>
          </w:p>
        </w:tc>
        <w:tc>
          <w:tcPr>
            <w:tcW w:w="1118" w:type="dxa"/>
          </w:tcPr>
          <w:p>
            <w:pPr>
              <w:spacing w:line="360" w:lineRule="auto"/>
              <w:jc w:val="center"/>
              <w:rPr>
                <w:rFonts w:asciiTheme="majorEastAsia" w:hAnsiTheme="majorEastAsia" w:eastAsiaTheme="majorEastAsia" w:cstheme="majorEastAsia"/>
                <w:b/>
                <w:bCs/>
                <w:kern w:val="0"/>
                <w:szCs w:val="21"/>
              </w:rPr>
            </w:pPr>
            <w:r>
              <w:rPr>
                <w:rFonts w:hint="eastAsia" w:asciiTheme="majorEastAsia" w:hAnsiTheme="majorEastAsia" w:eastAsiaTheme="majorEastAsia" w:cstheme="majorEastAsia"/>
                <w:b/>
                <w:bCs/>
                <w:kern w:val="0"/>
                <w:szCs w:val="21"/>
              </w:rPr>
              <w:t>分值</w:t>
            </w:r>
          </w:p>
        </w:tc>
        <w:tc>
          <w:tcPr>
            <w:tcW w:w="1264" w:type="dxa"/>
          </w:tcPr>
          <w:p>
            <w:pPr>
              <w:spacing w:line="360" w:lineRule="auto"/>
              <w:jc w:val="center"/>
              <w:rPr>
                <w:rFonts w:asciiTheme="majorEastAsia" w:hAnsiTheme="majorEastAsia" w:eastAsiaTheme="majorEastAsia" w:cstheme="majorEastAsia"/>
                <w:b/>
                <w:bCs/>
                <w:kern w:val="0"/>
                <w:szCs w:val="21"/>
              </w:rPr>
            </w:pPr>
            <w:r>
              <w:rPr>
                <w:rFonts w:hint="eastAsia" w:asciiTheme="majorEastAsia" w:hAnsiTheme="majorEastAsia" w:eastAsiaTheme="majorEastAsia" w:cstheme="majorEastAsia"/>
                <w:b/>
                <w:bCs/>
                <w:kern w:val="0"/>
                <w:szCs w:val="21"/>
              </w:rPr>
              <w:t>总分值</w:t>
            </w:r>
          </w:p>
        </w:tc>
        <w:tc>
          <w:tcPr>
            <w:tcW w:w="2677" w:type="dxa"/>
          </w:tcPr>
          <w:p>
            <w:pPr>
              <w:spacing w:line="360" w:lineRule="auto"/>
              <w:jc w:val="center"/>
              <w:rPr>
                <w:rFonts w:asciiTheme="majorEastAsia" w:hAnsiTheme="majorEastAsia" w:eastAsiaTheme="majorEastAsia" w:cstheme="majorEastAsia"/>
                <w:b/>
                <w:bCs/>
                <w:kern w:val="0"/>
                <w:szCs w:val="21"/>
              </w:rPr>
            </w:pPr>
            <w:r>
              <w:rPr>
                <w:rFonts w:hint="eastAsia" w:asciiTheme="majorEastAsia" w:hAnsiTheme="majorEastAsia" w:eastAsiaTheme="majorEastAsia" w:cstheme="majorEastAsia"/>
                <w:b/>
                <w:bCs/>
                <w:kern w:val="0"/>
                <w:szCs w:val="21"/>
              </w:rPr>
              <w:t>评分方式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87" w:type="dxa"/>
          </w:tcPr>
          <w:p>
            <w:pPr>
              <w:spacing w:line="360" w:lineRule="auto"/>
              <w:jc w:val="center"/>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银行业法律法规与综合能力</w:t>
            </w:r>
          </w:p>
        </w:tc>
        <w:tc>
          <w:tcPr>
            <w:tcW w:w="1118" w:type="dxa"/>
          </w:tcPr>
          <w:p>
            <w:pPr>
              <w:spacing w:line="360" w:lineRule="auto"/>
              <w:jc w:val="center"/>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70分</w:t>
            </w:r>
          </w:p>
        </w:tc>
        <w:tc>
          <w:tcPr>
            <w:tcW w:w="1264" w:type="dxa"/>
            <w:vMerge w:val="restart"/>
            <w:vAlign w:val="center"/>
          </w:tcPr>
          <w:p>
            <w:pPr>
              <w:spacing w:line="360" w:lineRule="auto"/>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 xml:space="preserve">  100分</w:t>
            </w:r>
          </w:p>
        </w:tc>
        <w:tc>
          <w:tcPr>
            <w:tcW w:w="2677" w:type="dxa"/>
            <w:vMerge w:val="restart"/>
            <w:vAlign w:val="center"/>
          </w:tcPr>
          <w:p>
            <w:pPr>
              <w:spacing w:line="360" w:lineRule="auto"/>
              <w:jc w:val="center"/>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系统评分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87" w:type="dxa"/>
          </w:tcPr>
          <w:p>
            <w:pPr>
              <w:spacing w:line="360" w:lineRule="auto"/>
              <w:jc w:val="center"/>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个人理财</w:t>
            </w:r>
          </w:p>
        </w:tc>
        <w:tc>
          <w:tcPr>
            <w:tcW w:w="1118" w:type="dxa"/>
          </w:tcPr>
          <w:p>
            <w:pPr>
              <w:spacing w:line="360" w:lineRule="auto"/>
              <w:jc w:val="center"/>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15分</w:t>
            </w:r>
          </w:p>
        </w:tc>
        <w:tc>
          <w:tcPr>
            <w:tcW w:w="1264" w:type="dxa"/>
            <w:vMerge w:val="continue"/>
          </w:tcPr>
          <w:p>
            <w:pPr>
              <w:spacing w:line="360" w:lineRule="auto"/>
              <w:jc w:val="center"/>
              <w:rPr>
                <w:rFonts w:asciiTheme="majorEastAsia" w:hAnsiTheme="majorEastAsia" w:eastAsiaTheme="majorEastAsia" w:cstheme="majorEastAsia"/>
                <w:kern w:val="0"/>
                <w:szCs w:val="21"/>
              </w:rPr>
            </w:pPr>
          </w:p>
        </w:tc>
        <w:tc>
          <w:tcPr>
            <w:tcW w:w="2677" w:type="dxa"/>
            <w:vMerge w:val="continue"/>
          </w:tcPr>
          <w:p>
            <w:pPr>
              <w:spacing w:line="360" w:lineRule="auto"/>
              <w:jc w:val="center"/>
              <w:rPr>
                <w:rFonts w:asciiTheme="majorEastAsia" w:hAnsiTheme="majorEastAsia" w:eastAsiaTheme="majorEastAsia" w:cstheme="maj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trPr>
        <w:tc>
          <w:tcPr>
            <w:tcW w:w="3887" w:type="dxa"/>
          </w:tcPr>
          <w:p>
            <w:pPr>
              <w:spacing w:line="360" w:lineRule="auto"/>
              <w:jc w:val="center"/>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银行信贷（含公司信贷和个人贷款）</w:t>
            </w:r>
          </w:p>
        </w:tc>
        <w:tc>
          <w:tcPr>
            <w:tcW w:w="1118" w:type="dxa"/>
          </w:tcPr>
          <w:p>
            <w:pPr>
              <w:spacing w:line="360" w:lineRule="auto"/>
              <w:jc w:val="center"/>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15分</w:t>
            </w:r>
          </w:p>
        </w:tc>
        <w:tc>
          <w:tcPr>
            <w:tcW w:w="1264" w:type="dxa"/>
            <w:vMerge w:val="continue"/>
          </w:tcPr>
          <w:p>
            <w:pPr>
              <w:spacing w:line="360" w:lineRule="auto"/>
              <w:jc w:val="center"/>
              <w:rPr>
                <w:rFonts w:asciiTheme="majorEastAsia" w:hAnsiTheme="majorEastAsia" w:eastAsiaTheme="majorEastAsia" w:cstheme="majorEastAsia"/>
                <w:kern w:val="0"/>
                <w:szCs w:val="21"/>
              </w:rPr>
            </w:pPr>
          </w:p>
        </w:tc>
        <w:tc>
          <w:tcPr>
            <w:tcW w:w="2677" w:type="dxa"/>
            <w:vMerge w:val="continue"/>
          </w:tcPr>
          <w:p>
            <w:pPr>
              <w:spacing w:line="360" w:lineRule="auto"/>
              <w:jc w:val="center"/>
              <w:rPr>
                <w:rFonts w:asciiTheme="majorEastAsia" w:hAnsiTheme="majorEastAsia" w:eastAsiaTheme="majorEastAsia" w:cstheme="majorEastAsia"/>
                <w:kern w:val="0"/>
                <w:szCs w:val="21"/>
              </w:rPr>
            </w:pPr>
          </w:p>
        </w:tc>
      </w:tr>
    </w:tbl>
    <w:p>
      <w:pPr>
        <w:snapToGrid w:val="0"/>
        <w:spacing w:line="360" w:lineRule="auto"/>
        <w:rPr>
          <w:rFonts w:ascii="仿宋_GB2312" w:hAnsi="微软雅黑" w:eastAsia="仿宋_GB2312" w:cs="Arial"/>
          <w:sz w:val="24"/>
        </w:rPr>
      </w:pPr>
    </w:p>
    <w:p>
      <w:pPr>
        <w:snapToGrid w:val="0"/>
        <w:spacing w:line="360" w:lineRule="auto"/>
        <w:ind w:left="600"/>
        <w:rPr>
          <w:rFonts w:ascii="仿宋_GB2312" w:hAnsi="微软雅黑" w:eastAsia="仿宋_GB2312" w:cs="Arial"/>
          <w:sz w:val="24"/>
        </w:rPr>
      </w:pPr>
      <w:r>
        <w:rPr>
          <w:rFonts w:hint="eastAsia" w:ascii="仿宋_GB2312" w:hAnsi="微软雅黑" w:eastAsia="仿宋_GB2312" w:cs="Arial"/>
          <w:sz w:val="24"/>
        </w:rPr>
        <w:t>2.“银行基本技能”竞赛</w:t>
      </w:r>
    </w:p>
    <w:p>
      <w:pPr>
        <w:snapToGrid w:val="0"/>
        <w:spacing w:line="360" w:lineRule="auto"/>
        <w:ind w:left="600"/>
        <w:rPr>
          <w:rFonts w:ascii="仿宋_GB2312" w:hAnsi="微软雅黑" w:eastAsia="仿宋_GB2312" w:cs="Arial"/>
          <w:sz w:val="24"/>
        </w:rPr>
      </w:pPr>
    </w:p>
    <w:tbl>
      <w:tblPr>
        <w:tblStyle w:val="9"/>
        <w:tblW w:w="91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311"/>
        <w:gridCol w:w="2025"/>
        <w:gridCol w:w="1230"/>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spacing w:line="360" w:lineRule="auto"/>
              <w:jc w:val="center"/>
              <w:rPr>
                <w:rFonts w:ascii="仿宋_GB2312" w:hAnsi="微软雅黑" w:eastAsia="仿宋_GB2312" w:cs="Arial"/>
                <w:kern w:val="0"/>
                <w:szCs w:val="21"/>
              </w:rPr>
            </w:pPr>
            <w:r>
              <w:rPr>
                <w:rFonts w:hint="eastAsia" w:asciiTheme="minorEastAsia" w:hAnsiTheme="minorEastAsia" w:cstheme="minorEastAsia"/>
                <w:b/>
                <w:kern w:val="0"/>
                <w:szCs w:val="21"/>
              </w:rPr>
              <w:t>竞赛任务</w:t>
            </w:r>
          </w:p>
        </w:tc>
        <w:tc>
          <w:tcPr>
            <w:tcW w:w="4336" w:type="dxa"/>
            <w:gridSpan w:val="2"/>
            <w:vAlign w:val="center"/>
          </w:tcPr>
          <w:p>
            <w:pPr>
              <w:spacing w:line="360" w:lineRule="auto"/>
              <w:jc w:val="center"/>
              <w:rPr>
                <w:rFonts w:ascii="仿宋_GB2312" w:hAnsi="微软雅黑" w:eastAsia="仿宋_GB2312" w:cs="Arial"/>
                <w:kern w:val="0"/>
                <w:szCs w:val="21"/>
              </w:rPr>
            </w:pPr>
            <w:r>
              <w:rPr>
                <w:rFonts w:hint="eastAsia" w:asciiTheme="minorEastAsia" w:hAnsiTheme="minorEastAsia" w:cstheme="minorEastAsia"/>
                <w:b/>
                <w:kern w:val="0"/>
                <w:szCs w:val="21"/>
              </w:rPr>
              <w:t>评分细节</w:t>
            </w:r>
          </w:p>
        </w:tc>
        <w:tc>
          <w:tcPr>
            <w:tcW w:w="1230" w:type="dxa"/>
            <w:vAlign w:val="center"/>
          </w:tcPr>
          <w:p>
            <w:pPr>
              <w:spacing w:line="360" w:lineRule="auto"/>
              <w:jc w:val="center"/>
              <w:rPr>
                <w:rFonts w:ascii="仿宋_GB2312" w:hAnsi="微软雅黑" w:eastAsia="仿宋_GB2312" w:cs="Arial"/>
                <w:kern w:val="0"/>
                <w:szCs w:val="21"/>
              </w:rPr>
            </w:pPr>
            <w:r>
              <w:rPr>
                <w:rFonts w:hint="eastAsia" w:asciiTheme="minorEastAsia" w:hAnsiTheme="minorEastAsia" w:cstheme="minorEastAsia"/>
                <w:b/>
                <w:kern w:val="0"/>
                <w:szCs w:val="21"/>
              </w:rPr>
              <w:t>分值</w:t>
            </w:r>
          </w:p>
        </w:tc>
        <w:tc>
          <w:tcPr>
            <w:tcW w:w="1425" w:type="dxa"/>
            <w:vAlign w:val="center"/>
          </w:tcPr>
          <w:p>
            <w:pPr>
              <w:spacing w:line="360" w:lineRule="auto"/>
              <w:jc w:val="center"/>
              <w:rPr>
                <w:rFonts w:ascii="仿宋_GB2312" w:hAnsi="微软雅黑" w:eastAsia="仿宋_GB2312" w:cs="Arial"/>
                <w:kern w:val="0"/>
                <w:szCs w:val="21"/>
              </w:rPr>
            </w:pPr>
            <w:r>
              <w:rPr>
                <w:rFonts w:hint="eastAsia" w:asciiTheme="minorEastAsia" w:hAnsiTheme="minorEastAsia" w:cstheme="minorEastAsia"/>
                <w:b/>
                <w:kern w:val="0"/>
                <w:szCs w:val="21"/>
              </w:rPr>
              <w:t>评分方式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spacing w:line="360" w:lineRule="auto"/>
              <w:jc w:val="center"/>
              <w:rPr>
                <w:rFonts w:ascii="仿宋_GB2312" w:hAnsi="微软雅黑" w:eastAsia="仿宋_GB2312" w:cs="Arial"/>
                <w:kern w:val="0"/>
                <w:szCs w:val="21"/>
              </w:rPr>
            </w:pPr>
            <w:r>
              <w:rPr>
                <w:rFonts w:hint="eastAsia" w:asciiTheme="minorEastAsia" w:hAnsiTheme="minorEastAsia" w:cstheme="minorEastAsia"/>
                <w:kern w:val="0"/>
                <w:szCs w:val="21"/>
              </w:rPr>
              <w:t>传票算</w:t>
            </w:r>
          </w:p>
        </w:tc>
        <w:tc>
          <w:tcPr>
            <w:tcW w:w="4336" w:type="dxa"/>
            <w:gridSpan w:val="2"/>
          </w:tcPr>
          <w:p>
            <w:pPr>
              <w:spacing w:line="360" w:lineRule="auto"/>
              <w:rPr>
                <w:rFonts w:ascii="仿宋_GB2312" w:hAnsi="微软雅黑" w:eastAsia="仿宋_GB2312" w:cs="Arial"/>
                <w:kern w:val="0"/>
                <w:szCs w:val="21"/>
              </w:rPr>
            </w:pPr>
            <w:r>
              <w:rPr>
                <w:rFonts w:hint="eastAsia" w:asciiTheme="minorEastAsia" w:hAnsiTheme="minorEastAsia" w:cstheme="minorEastAsia"/>
                <w:kern w:val="0"/>
                <w:szCs w:val="21"/>
              </w:rPr>
              <w:t>本项目采用计算机系统自动评分办法，按正确答案数记分；按计算机事先设置的采分点，选手每提交一个正确数字可得5分，提交不正确的不得分。</w:t>
            </w:r>
          </w:p>
        </w:tc>
        <w:tc>
          <w:tcPr>
            <w:tcW w:w="1230" w:type="dxa"/>
            <w:vAlign w:val="center"/>
          </w:tcPr>
          <w:p>
            <w:pPr>
              <w:spacing w:line="360" w:lineRule="auto"/>
              <w:jc w:val="center"/>
              <w:rPr>
                <w:rFonts w:ascii="仿宋_GB2312" w:hAnsi="微软雅黑" w:eastAsia="仿宋_GB2312" w:cs="Arial"/>
                <w:kern w:val="0"/>
                <w:szCs w:val="21"/>
              </w:rPr>
            </w:pPr>
            <w:r>
              <w:rPr>
                <w:rFonts w:hint="eastAsia" w:asciiTheme="minorEastAsia" w:hAnsiTheme="minorEastAsia" w:cstheme="minorEastAsia"/>
                <w:kern w:val="0"/>
                <w:szCs w:val="21"/>
              </w:rPr>
              <w:t>100分</w:t>
            </w:r>
          </w:p>
        </w:tc>
        <w:tc>
          <w:tcPr>
            <w:tcW w:w="1425" w:type="dxa"/>
            <w:vAlign w:val="center"/>
          </w:tcPr>
          <w:p>
            <w:pPr>
              <w:spacing w:line="360" w:lineRule="auto"/>
              <w:jc w:val="center"/>
              <w:rPr>
                <w:rFonts w:ascii="仿宋_GB2312" w:hAnsi="微软雅黑" w:eastAsia="仿宋_GB2312" w:cs="Arial"/>
                <w:kern w:val="0"/>
                <w:szCs w:val="21"/>
              </w:rPr>
            </w:pPr>
            <w:r>
              <w:rPr>
                <w:rFonts w:hint="eastAsia" w:asciiTheme="minorEastAsia" w:hAnsiTheme="minorEastAsia" w:cstheme="minorEastAsia"/>
                <w:kern w:val="0"/>
                <w:szCs w:val="21"/>
              </w:rPr>
              <w:t>系统评分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spacing w:line="360" w:lineRule="auto"/>
              <w:jc w:val="center"/>
              <w:rPr>
                <w:rFonts w:ascii="仿宋_GB2312" w:hAnsi="微软雅黑" w:eastAsia="仿宋_GB2312" w:cs="Arial"/>
                <w:kern w:val="0"/>
                <w:szCs w:val="21"/>
              </w:rPr>
            </w:pPr>
            <w:r>
              <w:rPr>
                <w:rFonts w:hint="eastAsia" w:asciiTheme="minorEastAsia" w:hAnsiTheme="minorEastAsia" w:cstheme="minorEastAsia"/>
                <w:kern w:val="0"/>
                <w:szCs w:val="21"/>
              </w:rPr>
              <w:t>字符输入</w:t>
            </w:r>
          </w:p>
        </w:tc>
        <w:tc>
          <w:tcPr>
            <w:tcW w:w="4336" w:type="dxa"/>
            <w:gridSpan w:val="2"/>
          </w:tcPr>
          <w:p>
            <w:pPr>
              <w:spacing w:line="360" w:lineRule="auto"/>
              <w:rPr>
                <w:rFonts w:ascii="仿宋_GB2312" w:hAnsi="微软雅黑" w:eastAsia="仿宋_GB2312" w:cs="Arial"/>
                <w:kern w:val="0"/>
                <w:szCs w:val="21"/>
              </w:rPr>
            </w:pPr>
            <w:r>
              <w:rPr>
                <w:rFonts w:hint="eastAsia" w:asciiTheme="minorEastAsia" w:hAnsiTheme="minorEastAsia" w:cstheme="minorEastAsia"/>
                <w:kern w:val="0"/>
                <w:szCs w:val="21"/>
              </w:rPr>
              <w:t>本项目采用计算机系统自动评分办法；选手提交后，按计算机事先设置的采分点，一个正确字符得0.0625分，一个错误字符按该字符分值的3倍扣分（本项目最低为零分，不出现负分）。</w:t>
            </w:r>
          </w:p>
        </w:tc>
        <w:tc>
          <w:tcPr>
            <w:tcW w:w="1230" w:type="dxa"/>
            <w:vAlign w:val="center"/>
          </w:tcPr>
          <w:p>
            <w:pPr>
              <w:spacing w:line="360" w:lineRule="auto"/>
              <w:jc w:val="center"/>
              <w:rPr>
                <w:rFonts w:ascii="仿宋_GB2312" w:hAnsi="微软雅黑" w:eastAsia="仿宋_GB2312" w:cs="Arial"/>
                <w:kern w:val="0"/>
                <w:szCs w:val="21"/>
              </w:rPr>
            </w:pPr>
            <w:r>
              <w:rPr>
                <w:rFonts w:hint="eastAsia" w:asciiTheme="minorEastAsia" w:hAnsiTheme="minorEastAsia" w:cstheme="minorEastAsia"/>
                <w:kern w:val="0"/>
                <w:szCs w:val="21"/>
              </w:rPr>
              <w:t>100分</w:t>
            </w:r>
          </w:p>
        </w:tc>
        <w:tc>
          <w:tcPr>
            <w:tcW w:w="1425" w:type="dxa"/>
            <w:vAlign w:val="center"/>
          </w:tcPr>
          <w:p>
            <w:pPr>
              <w:spacing w:line="360" w:lineRule="auto"/>
              <w:jc w:val="center"/>
              <w:rPr>
                <w:rFonts w:ascii="仿宋_GB2312" w:hAnsi="微软雅黑" w:eastAsia="仿宋_GB2312" w:cs="Arial"/>
                <w:kern w:val="0"/>
                <w:szCs w:val="21"/>
              </w:rPr>
            </w:pPr>
            <w:r>
              <w:rPr>
                <w:rFonts w:hint="eastAsia" w:asciiTheme="minorEastAsia" w:hAnsiTheme="minorEastAsia" w:cstheme="minorEastAsia"/>
                <w:kern w:val="0"/>
                <w:szCs w:val="21"/>
              </w:rPr>
              <w:t>系统评分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spacing w:line="360" w:lineRule="auto"/>
              <w:jc w:val="center"/>
              <w:rPr>
                <w:rFonts w:ascii="仿宋_GB2312" w:hAnsi="微软雅黑" w:eastAsia="仿宋_GB2312" w:cs="Arial"/>
                <w:kern w:val="0"/>
                <w:szCs w:val="21"/>
              </w:rPr>
            </w:pPr>
            <w:r>
              <w:rPr>
                <w:rFonts w:hint="eastAsia" w:asciiTheme="minorEastAsia" w:hAnsiTheme="minorEastAsia" w:cstheme="minorEastAsia"/>
                <w:kern w:val="0"/>
                <w:szCs w:val="21"/>
              </w:rPr>
              <w:t>手工点钞</w:t>
            </w:r>
          </w:p>
        </w:tc>
        <w:tc>
          <w:tcPr>
            <w:tcW w:w="4336" w:type="dxa"/>
            <w:gridSpan w:val="2"/>
          </w:tcPr>
          <w:p>
            <w:pPr>
              <w:spacing w:line="360" w:lineRule="auto"/>
              <w:rPr>
                <w:rFonts w:asciiTheme="minorEastAsia" w:hAnsiTheme="minorEastAsia" w:cstheme="minorEastAsia"/>
                <w:kern w:val="0"/>
                <w:szCs w:val="21"/>
              </w:rPr>
            </w:pPr>
            <w:r>
              <w:rPr>
                <w:rFonts w:hint="eastAsia" w:asciiTheme="minorEastAsia" w:hAnsiTheme="minorEastAsia" w:cstheme="minorEastAsia"/>
                <w:kern w:val="0"/>
                <w:szCs w:val="21"/>
              </w:rPr>
              <w:t>1.采用计算机系统自动评分与现场裁判评分相结合的办法；</w:t>
            </w:r>
          </w:p>
          <w:p>
            <w:pPr>
              <w:spacing w:line="360" w:lineRule="auto"/>
              <w:rPr>
                <w:rFonts w:asciiTheme="minorEastAsia" w:hAnsiTheme="minorEastAsia" w:cstheme="minorEastAsia"/>
                <w:kern w:val="0"/>
                <w:szCs w:val="21"/>
              </w:rPr>
            </w:pPr>
            <w:r>
              <w:rPr>
                <w:rFonts w:hint="eastAsia" w:asciiTheme="minorEastAsia" w:hAnsiTheme="minorEastAsia" w:cstheme="minorEastAsia"/>
                <w:kern w:val="0"/>
                <w:szCs w:val="21"/>
              </w:rPr>
              <w:t>2.按计算机事先设置的采分点评分，总共8种面额钞票，选手清点完每一种面额钞票后将钞票数量和金额录入到竞赛平台系统中。每种钞票录入数量正确得10分，金额正确得2.5分。</w:t>
            </w:r>
          </w:p>
          <w:p>
            <w:pPr>
              <w:spacing w:line="360" w:lineRule="auto"/>
              <w:rPr>
                <w:rFonts w:asciiTheme="minorEastAsia" w:hAnsiTheme="minorEastAsia" w:cstheme="minorEastAsia"/>
                <w:kern w:val="0"/>
                <w:szCs w:val="21"/>
              </w:rPr>
            </w:pPr>
            <w:r>
              <w:rPr>
                <w:rFonts w:hint="eastAsia" w:asciiTheme="minorEastAsia" w:hAnsiTheme="minorEastAsia" w:cstheme="minorEastAsia"/>
                <w:kern w:val="0"/>
                <w:szCs w:val="21"/>
              </w:rPr>
              <w:t>3.现场裁判评分标准：</w:t>
            </w:r>
          </w:p>
          <w:p>
            <w:pPr>
              <w:spacing w:line="360" w:lineRule="auto"/>
              <w:rPr>
                <w:rFonts w:asciiTheme="minorEastAsia" w:hAnsiTheme="minorEastAsia" w:cstheme="minorEastAsia"/>
                <w:kern w:val="0"/>
                <w:szCs w:val="21"/>
              </w:rPr>
            </w:pPr>
            <w:r>
              <w:rPr>
                <w:rFonts w:hint="eastAsia" w:asciiTheme="minorEastAsia" w:hAnsiTheme="minorEastAsia" w:cstheme="minorEastAsia"/>
                <w:kern w:val="0"/>
                <w:szCs w:val="21"/>
              </w:rPr>
              <w:t>①未正确捆扎、未捆扎每把（每把100张）扣2分；</w:t>
            </w:r>
          </w:p>
          <w:p>
            <w:pPr>
              <w:spacing w:line="360" w:lineRule="auto"/>
              <w:rPr>
                <w:rFonts w:asciiTheme="minorEastAsia" w:hAnsiTheme="minorEastAsia" w:cstheme="minorEastAsia"/>
                <w:kern w:val="0"/>
                <w:szCs w:val="21"/>
              </w:rPr>
            </w:pPr>
            <w:r>
              <w:rPr>
                <w:rFonts w:hint="eastAsia" w:asciiTheme="minorEastAsia" w:hAnsiTheme="minorEastAsia" w:cstheme="minorEastAsia"/>
                <w:kern w:val="0"/>
                <w:szCs w:val="21"/>
              </w:rPr>
              <w:t>②未正确盖章、未盖章每把扣1分；</w:t>
            </w:r>
          </w:p>
          <w:p>
            <w:pPr>
              <w:spacing w:line="360" w:lineRule="auto"/>
              <w:rPr>
                <w:rFonts w:asciiTheme="minorEastAsia" w:hAnsiTheme="minorEastAsia" w:cstheme="minorEastAsia"/>
                <w:kern w:val="0"/>
                <w:szCs w:val="21"/>
              </w:rPr>
            </w:pPr>
            <w:r>
              <w:rPr>
                <w:rFonts w:hint="eastAsia" w:asciiTheme="minorEastAsia" w:hAnsiTheme="minorEastAsia" w:cstheme="minorEastAsia"/>
                <w:kern w:val="0"/>
                <w:szCs w:val="21"/>
              </w:rPr>
              <w:t>③将练功券放置框内方可计分，未放置该面值不得分。</w:t>
            </w:r>
          </w:p>
          <w:p>
            <w:pPr>
              <w:spacing w:line="360" w:lineRule="auto"/>
              <w:rPr>
                <w:rFonts w:asciiTheme="minorEastAsia" w:hAnsiTheme="minorEastAsia" w:cstheme="minorEastAsia"/>
                <w:kern w:val="0"/>
                <w:szCs w:val="21"/>
              </w:rPr>
            </w:pPr>
            <w:r>
              <w:rPr>
                <w:rFonts w:hint="eastAsia" w:asciiTheme="minorEastAsia" w:hAnsiTheme="minorEastAsia" w:cstheme="minorEastAsia"/>
                <w:kern w:val="0"/>
                <w:szCs w:val="21"/>
              </w:rPr>
              <w:t>④由现场裁判当场评定并填写“点钞扣分记录表”交裁判组汇总并录入到竞赛 平台系统。</w:t>
            </w:r>
          </w:p>
        </w:tc>
        <w:tc>
          <w:tcPr>
            <w:tcW w:w="1230" w:type="dxa"/>
            <w:vAlign w:val="center"/>
          </w:tcPr>
          <w:p>
            <w:pPr>
              <w:spacing w:line="360" w:lineRule="auto"/>
              <w:jc w:val="center"/>
              <w:rPr>
                <w:rFonts w:ascii="仿宋_GB2312" w:hAnsi="微软雅黑" w:eastAsia="仿宋_GB2312" w:cs="Arial"/>
                <w:kern w:val="0"/>
                <w:szCs w:val="21"/>
              </w:rPr>
            </w:pPr>
            <w:r>
              <w:rPr>
                <w:rFonts w:hint="eastAsia" w:asciiTheme="minorEastAsia" w:hAnsiTheme="minorEastAsia" w:cstheme="minorEastAsia"/>
                <w:kern w:val="0"/>
                <w:szCs w:val="21"/>
              </w:rPr>
              <w:t>100分</w:t>
            </w:r>
          </w:p>
        </w:tc>
        <w:tc>
          <w:tcPr>
            <w:tcW w:w="1425" w:type="dxa"/>
            <w:vAlign w:val="center"/>
          </w:tcPr>
          <w:p>
            <w:pPr>
              <w:spacing w:line="360" w:lineRule="auto"/>
              <w:jc w:val="left"/>
              <w:rPr>
                <w:rFonts w:asciiTheme="minorEastAsia" w:hAnsiTheme="minorEastAsia" w:cstheme="minorEastAsia"/>
                <w:kern w:val="0"/>
                <w:szCs w:val="21"/>
              </w:rPr>
            </w:pPr>
          </w:p>
          <w:p>
            <w:pPr>
              <w:spacing w:line="360" w:lineRule="auto"/>
              <w:jc w:val="left"/>
              <w:rPr>
                <w:rFonts w:asciiTheme="minorEastAsia" w:hAnsiTheme="minorEastAsia" w:cstheme="minorEastAsia"/>
                <w:kern w:val="0"/>
                <w:szCs w:val="21"/>
              </w:rPr>
            </w:pPr>
          </w:p>
          <w:p>
            <w:pPr>
              <w:spacing w:line="360" w:lineRule="auto"/>
              <w:jc w:val="left"/>
              <w:rPr>
                <w:rFonts w:asciiTheme="minorEastAsia" w:hAnsiTheme="minorEastAsia" w:cstheme="minorEastAsia"/>
                <w:kern w:val="0"/>
                <w:szCs w:val="21"/>
              </w:rPr>
            </w:pPr>
          </w:p>
          <w:p>
            <w:pPr>
              <w:spacing w:line="360" w:lineRule="auto"/>
              <w:jc w:val="left"/>
              <w:rPr>
                <w:rFonts w:ascii="仿宋_GB2312" w:hAnsi="微软雅黑" w:eastAsia="仿宋_GB2312" w:cs="Arial"/>
                <w:kern w:val="0"/>
                <w:szCs w:val="21"/>
              </w:rPr>
            </w:pPr>
            <w:r>
              <w:rPr>
                <w:rFonts w:hint="eastAsia" w:asciiTheme="minorEastAsia" w:hAnsiTheme="minorEastAsia" w:cstheme="minorEastAsia"/>
                <w:kern w:val="0"/>
                <w:szCs w:val="21"/>
              </w:rPr>
              <w:t>系统自动评分与现场裁判评分相结合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trPr>
        <w:tc>
          <w:tcPr>
            <w:tcW w:w="2130" w:type="dxa"/>
            <w:vMerge w:val="restart"/>
            <w:vAlign w:val="center"/>
          </w:tcPr>
          <w:p>
            <w:pPr>
              <w:spacing w:line="360" w:lineRule="auto"/>
              <w:jc w:val="center"/>
              <w:rPr>
                <w:rFonts w:ascii="仿宋_GB2312" w:hAnsi="微软雅黑" w:eastAsia="仿宋_GB2312" w:cs="Arial"/>
                <w:kern w:val="0"/>
                <w:szCs w:val="21"/>
              </w:rPr>
            </w:pPr>
            <w:r>
              <w:rPr>
                <w:rFonts w:hint="eastAsia" w:asciiTheme="minorEastAsia" w:hAnsiTheme="minorEastAsia" w:cstheme="minorEastAsia"/>
                <w:kern w:val="0"/>
                <w:szCs w:val="21"/>
              </w:rPr>
              <w:t>货币防伪与鉴别</w:t>
            </w:r>
          </w:p>
        </w:tc>
        <w:tc>
          <w:tcPr>
            <w:tcW w:w="2311" w:type="dxa"/>
            <w:vAlign w:val="center"/>
          </w:tcPr>
          <w:p>
            <w:pPr>
              <w:spacing w:line="360" w:lineRule="auto"/>
              <w:jc w:val="center"/>
              <w:rPr>
                <w:rFonts w:ascii="仿宋_GB2312" w:hAnsi="微软雅黑" w:eastAsia="仿宋_GB2312" w:cs="Arial"/>
                <w:kern w:val="0"/>
                <w:szCs w:val="21"/>
              </w:rPr>
            </w:pPr>
            <w:r>
              <w:rPr>
                <w:rFonts w:hint="eastAsia" w:asciiTheme="minorEastAsia" w:hAnsiTheme="minorEastAsia" w:cstheme="minorEastAsia"/>
                <w:kern w:val="0"/>
                <w:szCs w:val="21"/>
              </w:rPr>
              <w:t>单选题</w:t>
            </w:r>
          </w:p>
        </w:tc>
        <w:tc>
          <w:tcPr>
            <w:tcW w:w="2025" w:type="dxa"/>
            <w:vAlign w:val="center"/>
          </w:tcPr>
          <w:p>
            <w:pPr>
              <w:spacing w:line="360" w:lineRule="auto"/>
              <w:jc w:val="center"/>
              <w:rPr>
                <w:rFonts w:ascii="仿宋_GB2312" w:hAnsi="微软雅黑" w:eastAsia="仿宋_GB2312" w:cs="Arial"/>
                <w:kern w:val="0"/>
                <w:szCs w:val="21"/>
              </w:rPr>
            </w:pPr>
            <w:r>
              <w:rPr>
                <w:rFonts w:hint="eastAsia" w:asciiTheme="minorEastAsia" w:hAnsiTheme="minorEastAsia" w:cstheme="minorEastAsia"/>
                <w:kern w:val="0"/>
                <w:szCs w:val="21"/>
              </w:rPr>
              <w:t>30分</w:t>
            </w:r>
          </w:p>
        </w:tc>
        <w:tc>
          <w:tcPr>
            <w:tcW w:w="1230" w:type="dxa"/>
            <w:vMerge w:val="restart"/>
            <w:vAlign w:val="center"/>
          </w:tcPr>
          <w:p>
            <w:pPr>
              <w:spacing w:line="360" w:lineRule="auto"/>
              <w:jc w:val="center"/>
              <w:rPr>
                <w:rFonts w:ascii="仿宋_GB2312" w:hAnsi="微软雅黑" w:eastAsia="仿宋_GB2312" w:cs="Arial"/>
                <w:kern w:val="0"/>
                <w:szCs w:val="21"/>
              </w:rPr>
            </w:pPr>
            <w:r>
              <w:rPr>
                <w:rFonts w:hint="eastAsia" w:asciiTheme="minorEastAsia" w:hAnsiTheme="minorEastAsia" w:cstheme="minorEastAsia"/>
                <w:kern w:val="0"/>
                <w:szCs w:val="21"/>
              </w:rPr>
              <w:t>100分</w:t>
            </w:r>
          </w:p>
        </w:tc>
        <w:tc>
          <w:tcPr>
            <w:tcW w:w="1425" w:type="dxa"/>
            <w:vMerge w:val="restart"/>
            <w:vAlign w:val="center"/>
          </w:tcPr>
          <w:p>
            <w:pPr>
              <w:spacing w:line="360" w:lineRule="auto"/>
              <w:jc w:val="center"/>
              <w:rPr>
                <w:rFonts w:ascii="仿宋_GB2312" w:hAnsi="微软雅黑" w:eastAsia="仿宋_GB2312" w:cs="Arial"/>
                <w:kern w:val="0"/>
                <w:szCs w:val="21"/>
              </w:rPr>
            </w:pPr>
            <w:r>
              <w:rPr>
                <w:rFonts w:hint="eastAsia" w:asciiTheme="minorEastAsia" w:hAnsiTheme="minorEastAsia" w:cstheme="minorEastAsia"/>
                <w:kern w:val="0"/>
                <w:szCs w:val="21"/>
              </w:rPr>
              <w:t>系统评分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trPr>
        <w:tc>
          <w:tcPr>
            <w:tcW w:w="2130" w:type="dxa"/>
            <w:vMerge w:val="continue"/>
            <w:vAlign w:val="center"/>
          </w:tcPr>
          <w:p>
            <w:pPr>
              <w:spacing w:line="360" w:lineRule="auto"/>
              <w:rPr>
                <w:rFonts w:ascii="仿宋_GB2312" w:hAnsi="微软雅黑" w:eastAsia="仿宋_GB2312" w:cs="Arial"/>
                <w:kern w:val="0"/>
                <w:szCs w:val="21"/>
              </w:rPr>
            </w:pPr>
          </w:p>
        </w:tc>
        <w:tc>
          <w:tcPr>
            <w:tcW w:w="2311" w:type="dxa"/>
            <w:vAlign w:val="center"/>
          </w:tcPr>
          <w:p>
            <w:pPr>
              <w:spacing w:line="360" w:lineRule="auto"/>
              <w:jc w:val="center"/>
              <w:rPr>
                <w:rFonts w:ascii="仿宋_GB2312" w:hAnsi="微软雅黑" w:eastAsia="仿宋_GB2312" w:cs="Arial"/>
                <w:kern w:val="0"/>
                <w:szCs w:val="21"/>
              </w:rPr>
            </w:pPr>
            <w:r>
              <w:rPr>
                <w:rFonts w:hint="eastAsia" w:asciiTheme="minorEastAsia" w:hAnsiTheme="minorEastAsia" w:cstheme="minorEastAsia"/>
                <w:kern w:val="0"/>
                <w:szCs w:val="21"/>
              </w:rPr>
              <w:t>判断题</w:t>
            </w:r>
          </w:p>
        </w:tc>
        <w:tc>
          <w:tcPr>
            <w:tcW w:w="2025" w:type="dxa"/>
            <w:vAlign w:val="center"/>
          </w:tcPr>
          <w:p>
            <w:pPr>
              <w:spacing w:line="360" w:lineRule="auto"/>
              <w:jc w:val="center"/>
              <w:rPr>
                <w:rFonts w:ascii="仿宋_GB2312" w:hAnsi="微软雅黑" w:eastAsia="仿宋_GB2312" w:cs="Arial"/>
                <w:kern w:val="0"/>
                <w:szCs w:val="21"/>
              </w:rPr>
            </w:pPr>
            <w:r>
              <w:rPr>
                <w:rFonts w:hint="eastAsia" w:asciiTheme="minorEastAsia" w:hAnsiTheme="minorEastAsia" w:cstheme="minorEastAsia"/>
                <w:kern w:val="0"/>
                <w:szCs w:val="21"/>
              </w:rPr>
              <w:t>20分</w:t>
            </w:r>
          </w:p>
        </w:tc>
        <w:tc>
          <w:tcPr>
            <w:tcW w:w="1230" w:type="dxa"/>
            <w:vMerge w:val="continue"/>
          </w:tcPr>
          <w:p>
            <w:pPr>
              <w:snapToGrid w:val="0"/>
              <w:spacing w:line="360" w:lineRule="auto"/>
              <w:rPr>
                <w:rFonts w:ascii="仿宋_GB2312" w:hAnsi="微软雅黑" w:eastAsia="仿宋_GB2312" w:cs="Arial"/>
                <w:kern w:val="0"/>
                <w:szCs w:val="21"/>
              </w:rPr>
            </w:pPr>
          </w:p>
        </w:tc>
        <w:tc>
          <w:tcPr>
            <w:tcW w:w="1425" w:type="dxa"/>
            <w:vMerge w:val="continue"/>
          </w:tcPr>
          <w:p>
            <w:pPr>
              <w:snapToGrid w:val="0"/>
              <w:spacing w:line="360" w:lineRule="auto"/>
              <w:rPr>
                <w:rFonts w:ascii="仿宋_GB2312" w:hAnsi="微软雅黑" w:eastAsia="仿宋_GB2312" w:cs="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8" w:hRule="atLeast"/>
        </w:trPr>
        <w:tc>
          <w:tcPr>
            <w:tcW w:w="2130" w:type="dxa"/>
            <w:vMerge w:val="continue"/>
            <w:vAlign w:val="center"/>
          </w:tcPr>
          <w:p>
            <w:pPr>
              <w:spacing w:line="360" w:lineRule="auto"/>
              <w:rPr>
                <w:rFonts w:ascii="仿宋_GB2312" w:hAnsi="微软雅黑" w:eastAsia="仿宋_GB2312" w:cs="Arial"/>
                <w:kern w:val="0"/>
                <w:szCs w:val="21"/>
              </w:rPr>
            </w:pPr>
          </w:p>
        </w:tc>
        <w:tc>
          <w:tcPr>
            <w:tcW w:w="2311" w:type="dxa"/>
            <w:vAlign w:val="center"/>
          </w:tcPr>
          <w:p>
            <w:pPr>
              <w:spacing w:line="360" w:lineRule="auto"/>
              <w:jc w:val="center"/>
              <w:rPr>
                <w:rFonts w:ascii="仿宋_GB2312" w:hAnsi="微软雅黑" w:eastAsia="仿宋_GB2312" w:cs="Arial"/>
                <w:kern w:val="0"/>
                <w:szCs w:val="21"/>
              </w:rPr>
            </w:pPr>
            <w:r>
              <w:rPr>
                <w:rFonts w:hint="eastAsia" w:asciiTheme="minorEastAsia" w:hAnsiTheme="minorEastAsia" w:cstheme="minorEastAsia"/>
                <w:kern w:val="0"/>
                <w:szCs w:val="21"/>
              </w:rPr>
              <w:t>多选题</w:t>
            </w:r>
          </w:p>
        </w:tc>
        <w:tc>
          <w:tcPr>
            <w:tcW w:w="2025" w:type="dxa"/>
            <w:vAlign w:val="center"/>
          </w:tcPr>
          <w:p>
            <w:pPr>
              <w:spacing w:line="360" w:lineRule="auto"/>
              <w:jc w:val="center"/>
              <w:rPr>
                <w:rFonts w:ascii="仿宋_GB2312" w:hAnsi="微软雅黑" w:eastAsia="仿宋_GB2312" w:cs="Arial"/>
                <w:kern w:val="0"/>
                <w:szCs w:val="21"/>
              </w:rPr>
            </w:pPr>
            <w:r>
              <w:rPr>
                <w:rFonts w:hint="eastAsia" w:asciiTheme="minorEastAsia" w:hAnsiTheme="minorEastAsia" w:cstheme="minorEastAsia"/>
                <w:kern w:val="0"/>
                <w:szCs w:val="21"/>
              </w:rPr>
              <w:t>30分</w:t>
            </w:r>
          </w:p>
        </w:tc>
        <w:tc>
          <w:tcPr>
            <w:tcW w:w="1230" w:type="dxa"/>
            <w:vMerge w:val="continue"/>
          </w:tcPr>
          <w:p>
            <w:pPr>
              <w:snapToGrid w:val="0"/>
              <w:spacing w:line="360" w:lineRule="auto"/>
              <w:rPr>
                <w:rFonts w:ascii="仿宋_GB2312" w:hAnsi="微软雅黑" w:eastAsia="仿宋_GB2312" w:cs="Arial"/>
                <w:kern w:val="0"/>
                <w:szCs w:val="21"/>
              </w:rPr>
            </w:pPr>
          </w:p>
        </w:tc>
        <w:tc>
          <w:tcPr>
            <w:tcW w:w="1425" w:type="dxa"/>
            <w:vMerge w:val="continue"/>
          </w:tcPr>
          <w:p>
            <w:pPr>
              <w:snapToGrid w:val="0"/>
              <w:spacing w:line="360" w:lineRule="auto"/>
              <w:rPr>
                <w:rFonts w:ascii="仿宋_GB2312" w:hAnsi="微软雅黑" w:eastAsia="仿宋_GB2312" w:cs="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trPr>
        <w:tc>
          <w:tcPr>
            <w:tcW w:w="2130" w:type="dxa"/>
            <w:vMerge w:val="continue"/>
            <w:vAlign w:val="center"/>
          </w:tcPr>
          <w:p>
            <w:pPr>
              <w:spacing w:line="360" w:lineRule="auto"/>
              <w:rPr>
                <w:rFonts w:ascii="仿宋_GB2312" w:hAnsi="微软雅黑" w:eastAsia="仿宋_GB2312" w:cs="Arial"/>
                <w:kern w:val="0"/>
                <w:szCs w:val="21"/>
              </w:rPr>
            </w:pPr>
          </w:p>
        </w:tc>
        <w:tc>
          <w:tcPr>
            <w:tcW w:w="2311" w:type="dxa"/>
            <w:vAlign w:val="center"/>
          </w:tcPr>
          <w:p>
            <w:pPr>
              <w:spacing w:line="360" w:lineRule="auto"/>
              <w:jc w:val="center"/>
              <w:rPr>
                <w:rFonts w:ascii="仿宋_GB2312" w:hAnsi="微软雅黑" w:eastAsia="仿宋_GB2312" w:cs="Arial"/>
                <w:kern w:val="0"/>
                <w:szCs w:val="21"/>
              </w:rPr>
            </w:pPr>
            <w:r>
              <w:rPr>
                <w:rFonts w:hint="eastAsia" w:asciiTheme="minorEastAsia" w:hAnsiTheme="minorEastAsia" w:cstheme="minorEastAsia"/>
                <w:kern w:val="0"/>
                <w:szCs w:val="21"/>
              </w:rPr>
              <w:t>实务题</w:t>
            </w:r>
          </w:p>
        </w:tc>
        <w:tc>
          <w:tcPr>
            <w:tcW w:w="2025" w:type="dxa"/>
            <w:vAlign w:val="center"/>
          </w:tcPr>
          <w:p>
            <w:pPr>
              <w:spacing w:line="360" w:lineRule="auto"/>
              <w:jc w:val="center"/>
              <w:rPr>
                <w:rFonts w:ascii="仿宋_GB2312" w:hAnsi="微软雅黑" w:eastAsia="仿宋_GB2312" w:cs="Arial"/>
                <w:kern w:val="0"/>
                <w:szCs w:val="21"/>
              </w:rPr>
            </w:pPr>
            <w:r>
              <w:rPr>
                <w:rFonts w:hint="eastAsia" w:asciiTheme="minorEastAsia" w:hAnsiTheme="minorEastAsia" w:cstheme="minorEastAsia"/>
                <w:kern w:val="0"/>
                <w:szCs w:val="21"/>
              </w:rPr>
              <w:t>20分</w:t>
            </w:r>
          </w:p>
        </w:tc>
        <w:tc>
          <w:tcPr>
            <w:tcW w:w="1230" w:type="dxa"/>
            <w:vMerge w:val="continue"/>
          </w:tcPr>
          <w:p>
            <w:pPr>
              <w:snapToGrid w:val="0"/>
              <w:spacing w:line="360" w:lineRule="auto"/>
              <w:rPr>
                <w:rFonts w:ascii="仿宋_GB2312" w:hAnsi="微软雅黑" w:eastAsia="仿宋_GB2312" w:cs="Arial"/>
                <w:kern w:val="0"/>
                <w:szCs w:val="21"/>
              </w:rPr>
            </w:pPr>
          </w:p>
        </w:tc>
        <w:tc>
          <w:tcPr>
            <w:tcW w:w="1425" w:type="dxa"/>
            <w:vMerge w:val="continue"/>
          </w:tcPr>
          <w:p>
            <w:pPr>
              <w:snapToGrid w:val="0"/>
              <w:spacing w:line="360" w:lineRule="auto"/>
              <w:rPr>
                <w:rFonts w:ascii="仿宋_GB2312" w:hAnsi="微软雅黑" w:eastAsia="仿宋_GB2312" w:cs="Arial"/>
                <w:kern w:val="0"/>
                <w:szCs w:val="21"/>
              </w:rPr>
            </w:pPr>
          </w:p>
        </w:tc>
      </w:tr>
    </w:tbl>
    <w:p>
      <w:pPr>
        <w:snapToGrid w:val="0"/>
        <w:spacing w:line="360" w:lineRule="auto"/>
        <w:ind w:left="600"/>
        <w:rPr>
          <w:rFonts w:ascii="仿宋_GB2312" w:hAnsi="微软雅黑" w:eastAsia="仿宋_GB2312" w:cs="Arial"/>
          <w:sz w:val="24"/>
        </w:rPr>
      </w:pPr>
    </w:p>
    <w:p>
      <w:pPr>
        <w:snapToGrid w:val="0"/>
        <w:spacing w:line="360" w:lineRule="auto"/>
        <w:ind w:left="600"/>
        <w:rPr>
          <w:rFonts w:ascii="仿宋_GB2312" w:hAnsi="微软雅黑" w:eastAsia="仿宋_GB2312" w:cs="Arial"/>
          <w:sz w:val="24"/>
        </w:rPr>
      </w:pPr>
      <w:r>
        <w:rPr>
          <w:rFonts w:hint="eastAsia" w:ascii="仿宋_GB2312" w:hAnsi="微软雅黑" w:eastAsia="仿宋_GB2312" w:cs="Arial"/>
          <w:sz w:val="24"/>
        </w:rPr>
        <w:t>3.“银行业务能力”竞赛</w:t>
      </w:r>
    </w:p>
    <w:p>
      <w:pPr>
        <w:snapToGrid w:val="0"/>
        <w:spacing w:line="360" w:lineRule="auto"/>
        <w:ind w:left="600"/>
        <w:rPr>
          <w:rFonts w:ascii="仿宋_GB2312" w:hAnsi="微软雅黑" w:eastAsia="仿宋_GB2312" w:cs="Arial"/>
          <w:sz w:val="24"/>
        </w:rPr>
      </w:pPr>
    </w:p>
    <w:tbl>
      <w:tblPr>
        <w:tblStyle w:val="8"/>
        <w:tblW w:w="90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48"/>
        <w:gridCol w:w="3360"/>
        <w:gridCol w:w="741"/>
        <w:gridCol w:w="1275"/>
        <w:gridCol w:w="14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 w:hRule="atLeast"/>
        </w:trPr>
        <w:tc>
          <w:tcPr>
            <w:tcW w:w="2248" w:type="dxa"/>
            <w:vAlign w:val="center"/>
          </w:tcPr>
          <w:p>
            <w:pPr>
              <w:spacing w:line="360" w:lineRule="auto"/>
              <w:jc w:val="center"/>
              <w:rPr>
                <w:rFonts w:asciiTheme="minorEastAsia" w:hAnsiTheme="minorEastAsia" w:cstheme="minorEastAsia"/>
                <w:b/>
                <w:szCs w:val="21"/>
              </w:rPr>
            </w:pPr>
            <w:r>
              <w:rPr>
                <w:rFonts w:hint="eastAsia" w:asciiTheme="minorEastAsia" w:hAnsiTheme="minorEastAsia" w:cstheme="minorEastAsia"/>
                <w:b/>
                <w:szCs w:val="21"/>
              </w:rPr>
              <w:t>业务类型</w:t>
            </w:r>
          </w:p>
        </w:tc>
        <w:tc>
          <w:tcPr>
            <w:tcW w:w="3360" w:type="dxa"/>
            <w:vAlign w:val="center"/>
          </w:tcPr>
          <w:p>
            <w:pPr>
              <w:spacing w:line="360" w:lineRule="auto"/>
              <w:jc w:val="center"/>
              <w:rPr>
                <w:rFonts w:asciiTheme="minorEastAsia" w:hAnsiTheme="minorEastAsia" w:cstheme="minorEastAsia"/>
                <w:b/>
                <w:szCs w:val="21"/>
              </w:rPr>
            </w:pPr>
            <w:r>
              <w:rPr>
                <w:rFonts w:hint="eastAsia" w:asciiTheme="minorEastAsia" w:hAnsiTheme="minorEastAsia" w:cstheme="minorEastAsia"/>
                <w:b/>
                <w:szCs w:val="21"/>
              </w:rPr>
              <w:t>评分细节</w:t>
            </w:r>
          </w:p>
        </w:tc>
        <w:tc>
          <w:tcPr>
            <w:tcW w:w="741" w:type="dxa"/>
            <w:vAlign w:val="center"/>
          </w:tcPr>
          <w:p>
            <w:pPr>
              <w:spacing w:line="360" w:lineRule="auto"/>
              <w:jc w:val="center"/>
              <w:rPr>
                <w:rFonts w:asciiTheme="minorEastAsia" w:hAnsiTheme="minorEastAsia" w:cstheme="minorEastAsia"/>
                <w:b/>
                <w:szCs w:val="21"/>
              </w:rPr>
            </w:pPr>
            <w:r>
              <w:rPr>
                <w:rFonts w:hint="eastAsia" w:asciiTheme="minorEastAsia" w:hAnsiTheme="minorEastAsia" w:cstheme="minorEastAsia"/>
                <w:b/>
                <w:szCs w:val="21"/>
              </w:rPr>
              <w:t>分值</w:t>
            </w:r>
          </w:p>
        </w:tc>
        <w:tc>
          <w:tcPr>
            <w:tcW w:w="1275" w:type="dxa"/>
            <w:vAlign w:val="center"/>
          </w:tcPr>
          <w:p>
            <w:pPr>
              <w:spacing w:line="360" w:lineRule="auto"/>
              <w:jc w:val="center"/>
              <w:rPr>
                <w:rFonts w:asciiTheme="minorEastAsia" w:hAnsiTheme="minorEastAsia" w:cstheme="minorEastAsia"/>
                <w:b/>
                <w:szCs w:val="21"/>
              </w:rPr>
            </w:pPr>
            <w:r>
              <w:rPr>
                <w:rFonts w:hint="eastAsia" w:asciiTheme="minorEastAsia" w:hAnsiTheme="minorEastAsia" w:cstheme="minorEastAsia"/>
                <w:b/>
                <w:szCs w:val="21"/>
              </w:rPr>
              <w:t>合计</w:t>
            </w:r>
          </w:p>
        </w:tc>
        <w:tc>
          <w:tcPr>
            <w:tcW w:w="1415" w:type="dxa"/>
            <w:vAlign w:val="center"/>
          </w:tcPr>
          <w:p>
            <w:pPr>
              <w:spacing w:line="360" w:lineRule="auto"/>
              <w:jc w:val="center"/>
              <w:rPr>
                <w:rFonts w:asciiTheme="minorEastAsia" w:hAnsiTheme="minorEastAsia" w:cstheme="minorEastAsia"/>
                <w:b/>
                <w:szCs w:val="21"/>
              </w:rPr>
            </w:pPr>
            <w:r>
              <w:rPr>
                <w:rFonts w:hint="eastAsia" w:asciiTheme="minorEastAsia" w:hAnsiTheme="minorEastAsia" w:cstheme="minorEastAsia"/>
                <w:b/>
                <w:szCs w:val="21"/>
              </w:rPr>
              <w:t>评分方式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9" w:hRule="atLeast"/>
        </w:trPr>
        <w:tc>
          <w:tcPr>
            <w:tcW w:w="2248" w:type="dxa"/>
            <w:vMerge w:val="restart"/>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银行综合业务</w:t>
            </w:r>
          </w:p>
        </w:tc>
        <w:tc>
          <w:tcPr>
            <w:tcW w:w="3360" w:type="dxa"/>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个人银行基本业务</w:t>
            </w:r>
          </w:p>
        </w:tc>
        <w:tc>
          <w:tcPr>
            <w:tcW w:w="741" w:type="dxa"/>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20</w:t>
            </w:r>
          </w:p>
        </w:tc>
        <w:tc>
          <w:tcPr>
            <w:tcW w:w="1275" w:type="dxa"/>
            <w:vMerge w:val="restart"/>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200</w:t>
            </w:r>
          </w:p>
        </w:tc>
        <w:tc>
          <w:tcPr>
            <w:tcW w:w="1415" w:type="dxa"/>
            <w:vMerge w:val="restart"/>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系统评分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5" w:hRule="atLeast"/>
        </w:trPr>
        <w:tc>
          <w:tcPr>
            <w:tcW w:w="2248" w:type="dxa"/>
            <w:vMerge w:val="continue"/>
            <w:vAlign w:val="center"/>
          </w:tcPr>
          <w:p>
            <w:pPr>
              <w:spacing w:line="360" w:lineRule="auto"/>
              <w:rPr>
                <w:rFonts w:asciiTheme="minorEastAsia" w:hAnsiTheme="minorEastAsia" w:cstheme="minorEastAsia"/>
                <w:szCs w:val="21"/>
              </w:rPr>
            </w:pPr>
          </w:p>
        </w:tc>
        <w:tc>
          <w:tcPr>
            <w:tcW w:w="3360" w:type="dxa"/>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个人银行特殊业务</w:t>
            </w:r>
          </w:p>
        </w:tc>
        <w:tc>
          <w:tcPr>
            <w:tcW w:w="741" w:type="dxa"/>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10</w:t>
            </w:r>
          </w:p>
        </w:tc>
        <w:tc>
          <w:tcPr>
            <w:tcW w:w="1275" w:type="dxa"/>
            <w:vMerge w:val="continue"/>
            <w:vAlign w:val="center"/>
          </w:tcPr>
          <w:p>
            <w:pPr>
              <w:spacing w:line="360" w:lineRule="auto"/>
              <w:jc w:val="center"/>
              <w:rPr>
                <w:rFonts w:asciiTheme="minorEastAsia" w:hAnsiTheme="minorEastAsia" w:cstheme="minorEastAsia"/>
                <w:szCs w:val="21"/>
              </w:rPr>
            </w:pPr>
          </w:p>
        </w:tc>
        <w:tc>
          <w:tcPr>
            <w:tcW w:w="1415" w:type="dxa"/>
            <w:vMerge w:val="continue"/>
            <w:vAlign w:val="center"/>
          </w:tcPr>
          <w:p>
            <w:pPr>
              <w:spacing w:line="360" w:lineRule="auto"/>
              <w:jc w:val="center"/>
              <w:rPr>
                <w:rFonts w:asciiTheme="minorEastAsia" w:hAnsiTheme="minorEastAsia" w:cs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 w:hRule="atLeast"/>
        </w:trPr>
        <w:tc>
          <w:tcPr>
            <w:tcW w:w="2248" w:type="dxa"/>
            <w:vMerge w:val="continue"/>
            <w:vAlign w:val="center"/>
          </w:tcPr>
          <w:p>
            <w:pPr>
              <w:spacing w:line="360" w:lineRule="auto"/>
              <w:rPr>
                <w:rFonts w:asciiTheme="minorEastAsia" w:hAnsiTheme="minorEastAsia" w:cstheme="minorEastAsia"/>
                <w:szCs w:val="21"/>
              </w:rPr>
            </w:pPr>
          </w:p>
        </w:tc>
        <w:tc>
          <w:tcPr>
            <w:tcW w:w="3360" w:type="dxa"/>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公司银行业务</w:t>
            </w:r>
          </w:p>
        </w:tc>
        <w:tc>
          <w:tcPr>
            <w:tcW w:w="741" w:type="dxa"/>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20</w:t>
            </w:r>
          </w:p>
        </w:tc>
        <w:tc>
          <w:tcPr>
            <w:tcW w:w="1275" w:type="dxa"/>
            <w:vMerge w:val="continue"/>
            <w:vAlign w:val="center"/>
          </w:tcPr>
          <w:p>
            <w:pPr>
              <w:spacing w:line="360" w:lineRule="auto"/>
              <w:jc w:val="center"/>
              <w:rPr>
                <w:rFonts w:asciiTheme="minorEastAsia" w:hAnsiTheme="minorEastAsia" w:cstheme="minorEastAsia"/>
                <w:szCs w:val="21"/>
              </w:rPr>
            </w:pPr>
          </w:p>
        </w:tc>
        <w:tc>
          <w:tcPr>
            <w:tcW w:w="1415" w:type="dxa"/>
            <w:vMerge w:val="continue"/>
            <w:vAlign w:val="center"/>
          </w:tcPr>
          <w:p>
            <w:pPr>
              <w:spacing w:line="360" w:lineRule="auto"/>
              <w:jc w:val="center"/>
              <w:rPr>
                <w:rFonts w:asciiTheme="minorEastAsia" w:hAnsiTheme="minorEastAsia" w:cs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 w:hRule="atLeast"/>
        </w:trPr>
        <w:tc>
          <w:tcPr>
            <w:tcW w:w="2248" w:type="dxa"/>
            <w:vMerge w:val="continue"/>
            <w:vAlign w:val="center"/>
          </w:tcPr>
          <w:p>
            <w:pPr>
              <w:spacing w:line="360" w:lineRule="auto"/>
              <w:rPr>
                <w:rFonts w:asciiTheme="minorEastAsia" w:hAnsiTheme="minorEastAsia" w:cstheme="minorEastAsia"/>
                <w:szCs w:val="21"/>
              </w:rPr>
            </w:pPr>
          </w:p>
        </w:tc>
        <w:tc>
          <w:tcPr>
            <w:tcW w:w="3360" w:type="dxa"/>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代理业务</w:t>
            </w:r>
          </w:p>
        </w:tc>
        <w:tc>
          <w:tcPr>
            <w:tcW w:w="741" w:type="dxa"/>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10</w:t>
            </w:r>
          </w:p>
        </w:tc>
        <w:tc>
          <w:tcPr>
            <w:tcW w:w="1275" w:type="dxa"/>
            <w:vMerge w:val="continue"/>
            <w:vAlign w:val="center"/>
          </w:tcPr>
          <w:p>
            <w:pPr>
              <w:spacing w:line="360" w:lineRule="auto"/>
              <w:jc w:val="center"/>
              <w:rPr>
                <w:rFonts w:asciiTheme="minorEastAsia" w:hAnsiTheme="minorEastAsia" w:cstheme="minorEastAsia"/>
                <w:szCs w:val="21"/>
              </w:rPr>
            </w:pPr>
          </w:p>
        </w:tc>
        <w:tc>
          <w:tcPr>
            <w:tcW w:w="1415" w:type="dxa"/>
            <w:vMerge w:val="continue"/>
            <w:vAlign w:val="center"/>
          </w:tcPr>
          <w:p>
            <w:pPr>
              <w:spacing w:line="360" w:lineRule="auto"/>
              <w:jc w:val="center"/>
              <w:rPr>
                <w:rFonts w:asciiTheme="minorEastAsia" w:hAnsiTheme="minorEastAsia" w:cs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trPr>
        <w:tc>
          <w:tcPr>
            <w:tcW w:w="2248" w:type="dxa"/>
            <w:vMerge w:val="continue"/>
            <w:vAlign w:val="center"/>
          </w:tcPr>
          <w:p>
            <w:pPr>
              <w:spacing w:line="360" w:lineRule="auto"/>
              <w:rPr>
                <w:rFonts w:asciiTheme="minorEastAsia" w:hAnsiTheme="minorEastAsia" w:cstheme="minorEastAsia"/>
                <w:szCs w:val="21"/>
              </w:rPr>
            </w:pPr>
          </w:p>
        </w:tc>
        <w:tc>
          <w:tcPr>
            <w:tcW w:w="3360" w:type="dxa"/>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资信业务</w:t>
            </w:r>
          </w:p>
        </w:tc>
        <w:tc>
          <w:tcPr>
            <w:tcW w:w="741" w:type="dxa"/>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w:t>
            </w:r>
          </w:p>
        </w:tc>
        <w:tc>
          <w:tcPr>
            <w:tcW w:w="1275" w:type="dxa"/>
            <w:vMerge w:val="continue"/>
            <w:vAlign w:val="center"/>
          </w:tcPr>
          <w:p>
            <w:pPr>
              <w:spacing w:line="360" w:lineRule="auto"/>
              <w:jc w:val="center"/>
              <w:rPr>
                <w:rFonts w:asciiTheme="minorEastAsia" w:hAnsiTheme="minorEastAsia" w:cstheme="minorEastAsia"/>
                <w:szCs w:val="21"/>
              </w:rPr>
            </w:pPr>
          </w:p>
        </w:tc>
        <w:tc>
          <w:tcPr>
            <w:tcW w:w="1415" w:type="dxa"/>
            <w:vMerge w:val="continue"/>
            <w:vAlign w:val="center"/>
          </w:tcPr>
          <w:p>
            <w:pPr>
              <w:spacing w:line="360" w:lineRule="auto"/>
              <w:jc w:val="center"/>
              <w:rPr>
                <w:rFonts w:asciiTheme="minorEastAsia" w:hAnsiTheme="minorEastAsia" w:cs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 w:hRule="atLeast"/>
        </w:trPr>
        <w:tc>
          <w:tcPr>
            <w:tcW w:w="2248" w:type="dxa"/>
            <w:vMerge w:val="continue"/>
            <w:vAlign w:val="center"/>
          </w:tcPr>
          <w:p>
            <w:pPr>
              <w:spacing w:line="360" w:lineRule="auto"/>
              <w:rPr>
                <w:rFonts w:asciiTheme="minorEastAsia" w:hAnsiTheme="minorEastAsia" w:cstheme="minorEastAsia"/>
                <w:szCs w:val="21"/>
              </w:rPr>
            </w:pPr>
          </w:p>
        </w:tc>
        <w:tc>
          <w:tcPr>
            <w:tcW w:w="3360" w:type="dxa"/>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电子商业汇票业务</w:t>
            </w:r>
          </w:p>
        </w:tc>
        <w:tc>
          <w:tcPr>
            <w:tcW w:w="741" w:type="dxa"/>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20</w:t>
            </w:r>
          </w:p>
        </w:tc>
        <w:tc>
          <w:tcPr>
            <w:tcW w:w="1275" w:type="dxa"/>
            <w:vMerge w:val="continue"/>
            <w:vAlign w:val="center"/>
          </w:tcPr>
          <w:p>
            <w:pPr>
              <w:spacing w:line="360" w:lineRule="auto"/>
              <w:jc w:val="center"/>
              <w:rPr>
                <w:rFonts w:asciiTheme="minorEastAsia" w:hAnsiTheme="minorEastAsia" w:cstheme="minorEastAsia"/>
                <w:szCs w:val="21"/>
              </w:rPr>
            </w:pPr>
          </w:p>
        </w:tc>
        <w:tc>
          <w:tcPr>
            <w:tcW w:w="1415" w:type="dxa"/>
            <w:vMerge w:val="continue"/>
            <w:vAlign w:val="center"/>
          </w:tcPr>
          <w:p>
            <w:pPr>
              <w:spacing w:line="360" w:lineRule="auto"/>
              <w:jc w:val="center"/>
              <w:rPr>
                <w:rFonts w:asciiTheme="minorEastAsia" w:hAnsiTheme="minorEastAsia" w:cs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 w:hRule="atLeast"/>
        </w:trPr>
        <w:tc>
          <w:tcPr>
            <w:tcW w:w="2248" w:type="dxa"/>
            <w:vMerge w:val="continue"/>
            <w:vAlign w:val="center"/>
          </w:tcPr>
          <w:p>
            <w:pPr>
              <w:spacing w:line="360" w:lineRule="auto"/>
              <w:rPr>
                <w:rFonts w:asciiTheme="minorEastAsia" w:hAnsiTheme="minorEastAsia" w:cstheme="minorEastAsia"/>
                <w:szCs w:val="21"/>
              </w:rPr>
            </w:pPr>
          </w:p>
        </w:tc>
        <w:tc>
          <w:tcPr>
            <w:tcW w:w="3360" w:type="dxa"/>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纸质商业汇票业务</w:t>
            </w:r>
          </w:p>
        </w:tc>
        <w:tc>
          <w:tcPr>
            <w:tcW w:w="741" w:type="dxa"/>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20</w:t>
            </w:r>
          </w:p>
        </w:tc>
        <w:tc>
          <w:tcPr>
            <w:tcW w:w="1275" w:type="dxa"/>
            <w:vMerge w:val="continue"/>
            <w:vAlign w:val="center"/>
          </w:tcPr>
          <w:p>
            <w:pPr>
              <w:spacing w:line="360" w:lineRule="auto"/>
              <w:jc w:val="center"/>
              <w:rPr>
                <w:rFonts w:asciiTheme="minorEastAsia" w:hAnsiTheme="minorEastAsia" w:cstheme="minorEastAsia"/>
                <w:szCs w:val="21"/>
              </w:rPr>
            </w:pPr>
          </w:p>
        </w:tc>
        <w:tc>
          <w:tcPr>
            <w:tcW w:w="1415" w:type="dxa"/>
            <w:vMerge w:val="continue"/>
            <w:vAlign w:val="center"/>
          </w:tcPr>
          <w:p>
            <w:pPr>
              <w:spacing w:line="360" w:lineRule="auto"/>
              <w:jc w:val="center"/>
              <w:rPr>
                <w:rFonts w:asciiTheme="minorEastAsia" w:hAnsiTheme="minorEastAsia" w:cs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 w:hRule="atLeast"/>
        </w:trPr>
        <w:tc>
          <w:tcPr>
            <w:tcW w:w="2248" w:type="dxa"/>
            <w:vMerge w:val="continue"/>
            <w:vAlign w:val="center"/>
          </w:tcPr>
          <w:p>
            <w:pPr>
              <w:spacing w:line="360" w:lineRule="auto"/>
              <w:rPr>
                <w:rFonts w:asciiTheme="minorEastAsia" w:hAnsiTheme="minorEastAsia" w:cstheme="minorEastAsia"/>
                <w:szCs w:val="21"/>
              </w:rPr>
            </w:pPr>
          </w:p>
        </w:tc>
        <w:tc>
          <w:tcPr>
            <w:tcW w:w="3360" w:type="dxa"/>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大小额支付业务</w:t>
            </w:r>
          </w:p>
        </w:tc>
        <w:tc>
          <w:tcPr>
            <w:tcW w:w="741" w:type="dxa"/>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20</w:t>
            </w:r>
          </w:p>
        </w:tc>
        <w:tc>
          <w:tcPr>
            <w:tcW w:w="1275" w:type="dxa"/>
            <w:vMerge w:val="continue"/>
            <w:vAlign w:val="center"/>
          </w:tcPr>
          <w:p>
            <w:pPr>
              <w:spacing w:line="360" w:lineRule="auto"/>
              <w:jc w:val="center"/>
              <w:rPr>
                <w:rFonts w:asciiTheme="minorEastAsia" w:hAnsiTheme="minorEastAsia" w:cstheme="minorEastAsia"/>
                <w:szCs w:val="21"/>
              </w:rPr>
            </w:pPr>
          </w:p>
        </w:tc>
        <w:tc>
          <w:tcPr>
            <w:tcW w:w="1415" w:type="dxa"/>
            <w:vMerge w:val="continue"/>
            <w:vAlign w:val="center"/>
          </w:tcPr>
          <w:p>
            <w:pPr>
              <w:spacing w:line="360" w:lineRule="auto"/>
              <w:jc w:val="center"/>
              <w:rPr>
                <w:rFonts w:asciiTheme="minorEastAsia" w:hAnsiTheme="minorEastAsia" w:cs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 w:hRule="atLeast"/>
        </w:trPr>
        <w:tc>
          <w:tcPr>
            <w:tcW w:w="2248" w:type="dxa"/>
            <w:vMerge w:val="continue"/>
            <w:vAlign w:val="center"/>
          </w:tcPr>
          <w:p>
            <w:pPr>
              <w:spacing w:line="360" w:lineRule="auto"/>
              <w:rPr>
                <w:rFonts w:asciiTheme="minorEastAsia" w:hAnsiTheme="minorEastAsia" w:cstheme="minorEastAsia"/>
                <w:szCs w:val="21"/>
              </w:rPr>
            </w:pPr>
          </w:p>
        </w:tc>
        <w:tc>
          <w:tcPr>
            <w:tcW w:w="3360" w:type="dxa"/>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本票/汇票业务</w:t>
            </w:r>
          </w:p>
        </w:tc>
        <w:tc>
          <w:tcPr>
            <w:tcW w:w="741" w:type="dxa"/>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20</w:t>
            </w:r>
          </w:p>
        </w:tc>
        <w:tc>
          <w:tcPr>
            <w:tcW w:w="1275" w:type="dxa"/>
            <w:vMerge w:val="continue"/>
            <w:vAlign w:val="center"/>
          </w:tcPr>
          <w:p>
            <w:pPr>
              <w:spacing w:line="360" w:lineRule="auto"/>
              <w:jc w:val="center"/>
              <w:rPr>
                <w:rFonts w:asciiTheme="minorEastAsia" w:hAnsiTheme="minorEastAsia" w:cstheme="minorEastAsia"/>
                <w:szCs w:val="21"/>
              </w:rPr>
            </w:pPr>
          </w:p>
        </w:tc>
        <w:tc>
          <w:tcPr>
            <w:tcW w:w="1415" w:type="dxa"/>
            <w:vMerge w:val="continue"/>
            <w:vAlign w:val="center"/>
          </w:tcPr>
          <w:p>
            <w:pPr>
              <w:spacing w:line="360" w:lineRule="auto"/>
              <w:jc w:val="center"/>
              <w:rPr>
                <w:rFonts w:asciiTheme="minorEastAsia" w:hAnsiTheme="minorEastAsia" w:cs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4" w:hRule="atLeast"/>
        </w:trPr>
        <w:tc>
          <w:tcPr>
            <w:tcW w:w="2248" w:type="dxa"/>
            <w:vMerge w:val="continue"/>
            <w:vAlign w:val="center"/>
          </w:tcPr>
          <w:p>
            <w:pPr>
              <w:spacing w:line="360" w:lineRule="auto"/>
              <w:rPr>
                <w:rFonts w:asciiTheme="minorEastAsia" w:hAnsiTheme="minorEastAsia" w:cstheme="minorEastAsia"/>
                <w:szCs w:val="21"/>
              </w:rPr>
            </w:pPr>
          </w:p>
        </w:tc>
        <w:tc>
          <w:tcPr>
            <w:tcW w:w="3360" w:type="dxa"/>
            <w:tcBorders>
              <w:bottom w:val="single" w:color="auto" w:sz="4" w:space="0"/>
            </w:tcBorders>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委托收款业务</w:t>
            </w:r>
          </w:p>
        </w:tc>
        <w:tc>
          <w:tcPr>
            <w:tcW w:w="741" w:type="dxa"/>
            <w:tcBorders>
              <w:bottom w:val="single" w:color="auto" w:sz="4" w:space="0"/>
            </w:tcBorders>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10</w:t>
            </w:r>
          </w:p>
        </w:tc>
        <w:tc>
          <w:tcPr>
            <w:tcW w:w="1275" w:type="dxa"/>
            <w:vMerge w:val="continue"/>
            <w:vAlign w:val="center"/>
          </w:tcPr>
          <w:p>
            <w:pPr>
              <w:spacing w:line="360" w:lineRule="auto"/>
              <w:jc w:val="center"/>
              <w:rPr>
                <w:rFonts w:asciiTheme="minorEastAsia" w:hAnsiTheme="minorEastAsia" w:cstheme="minorEastAsia"/>
                <w:szCs w:val="21"/>
              </w:rPr>
            </w:pPr>
          </w:p>
        </w:tc>
        <w:tc>
          <w:tcPr>
            <w:tcW w:w="1415" w:type="dxa"/>
            <w:vMerge w:val="continue"/>
            <w:vAlign w:val="center"/>
          </w:tcPr>
          <w:p>
            <w:pPr>
              <w:spacing w:line="360" w:lineRule="auto"/>
              <w:jc w:val="center"/>
              <w:rPr>
                <w:rFonts w:asciiTheme="minorEastAsia" w:hAnsiTheme="minorEastAsia" w:cs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6" w:hRule="atLeast"/>
        </w:trPr>
        <w:tc>
          <w:tcPr>
            <w:tcW w:w="2248" w:type="dxa"/>
            <w:vMerge w:val="continue"/>
            <w:vAlign w:val="center"/>
          </w:tcPr>
          <w:p>
            <w:pPr>
              <w:spacing w:line="360" w:lineRule="auto"/>
              <w:rPr>
                <w:rFonts w:asciiTheme="minorEastAsia" w:hAnsiTheme="minorEastAsia" w:cstheme="minorEastAsia"/>
                <w:szCs w:val="21"/>
              </w:rPr>
            </w:pPr>
          </w:p>
        </w:tc>
        <w:tc>
          <w:tcPr>
            <w:tcW w:w="3360" w:type="dxa"/>
            <w:tcBorders>
              <w:top w:val="single" w:color="auto" w:sz="4" w:space="0"/>
              <w:bottom w:val="single" w:color="auto" w:sz="4" w:space="0"/>
            </w:tcBorders>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同城票据纸质交换业务</w:t>
            </w:r>
          </w:p>
        </w:tc>
        <w:tc>
          <w:tcPr>
            <w:tcW w:w="741" w:type="dxa"/>
            <w:tcBorders>
              <w:top w:val="single" w:color="auto" w:sz="4" w:space="0"/>
              <w:bottom w:val="single" w:color="auto" w:sz="4" w:space="0"/>
            </w:tcBorders>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20</w:t>
            </w:r>
          </w:p>
        </w:tc>
        <w:tc>
          <w:tcPr>
            <w:tcW w:w="1275" w:type="dxa"/>
            <w:vMerge w:val="continue"/>
            <w:vAlign w:val="center"/>
          </w:tcPr>
          <w:p>
            <w:pPr>
              <w:spacing w:line="360" w:lineRule="auto"/>
              <w:jc w:val="center"/>
              <w:rPr>
                <w:rFonts w:asciiTheme="minorEastAsia" w:hAnsiTheme="minorEastAsia" w:cstheme="minorEastAsia"/>
                <w:szCs w:val="21"/>
              </w:rPr>
            </w:pPr>
          </w:p>
        </w:tc>
        <w:tc>
          <w:tcPr>
            <w:tcW w:w="1415" w:type="dxa"/>
            <w:vMerge w:val="continue"/>
            <w:vAlign w:val="center"/>
          </w:tcPr>
          <w:p>
            <w:pPr>
              <w:spacing w:line="360" w:lineRule="auto"/>
              <w:jc w:val="center"/>
              <w:rPr>
                <w:rFonts w:asciiTheme="minorEastAsia" w:hAnsiTheme="minorEastAsia" w:cs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7" w:hRule="atLeast"/>
        </w:trPr>
        <w:tc>
          <w:tcPr>
            <w:tcW w:w="2248" w:type="dxa"/>
            <w:vMerge w:val="continue"/>
            <w:vAlign w:val="center"/>
          </w:tcPr>
          <w:p>
            <w:pPr>
              <w:spacing w:line="360" w:lineRule="auto"/>
              <w:rPr>
                <w:rFonts w:asciiTheme="minorEastAsia" w:hAnsiTheme="minorEastAsia" w:cstheme="minorEastAsia"/>
                <w:szCs w:val="21"/>
              </w:rPr>
            </w:pPr>
          </w:p>
        </w:tc>
        <w:tc>
          <w:tcPr>
            <w:tcW w:w="3360" w:type="dxa"/>
            <w:tcBorders>
              <w:top w:val="single" w:color="auto" w:sz="4" w:space="0"/>
            </w:tcBorders>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银行其它业务</w:t>
            </w:r>
          </w:p>
        </w:tc>
        <w:tc>
          <w:tcPr>
            <w:tcW w:w="741" w:type="dxa"/>
            <w:tcBorders>
              <w:top w:val="single" w:color="auto" w:sz="4" w:space="0"/>
              <w:bottom w:val="single" w:color="auto" w:sz="4" w:space="0"/>
            </w:tcBorders>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25</w:t>
            </w:r>
          </w:p>
        </w:tc>
        <w:tc>
          <w:tcPr>
            <w:tcW w:w="1275" w:type="dxa"/>
            <w:vMerge w:val="continue"/>
            <w:tcBorders>
              <w:bottom w:val="single" w:color="auto" w:sz="4" w:space="0"/>
            </w:tcBorders>
            <w:vAlign w:val="center"/>
          </w:tcPr>
          <w:p>
            <w:pPr>
              <w:spacing w:line="360" w:lineRule="auto"/>
              <w:jc w:val="center"/>
              <w:rPr>
                <w:rFonts w:asciiTheme="minorEastAsia" w:hAnsiTheme="minorEastAsia" w:cstheme="minorEastAsia"/>
                <w:szCs w:val="21"/>
              </w:rPr>
            </w:pPr>
          </w:p>
        </w:tc>
        <w:tc>
          <w:tcPr>
            <w:tcW w:w="1415" w:type="dxa"/>
            <w:vMerge w:val="continue"/>
            <w:vAlign w:val="center"/>
          </w:tcPr>
          <w:p>
            <w:pPr>
              <w:spacing w:line="360" w:lineRule="auto"/>
              <w:jc w:val="center"/>
              <w:rPr>
                <w:rFonts w:asciiTheme="minorEastAsia" w:hAnsiTheme="minorEastAsia" w:cs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4" w:hRule="atLeast"/>
        </w:trPr>
        <w:tc>
          <w:tcPr>
            <w:tcW w:w="2248" w:type="dxa"/>
            <w:vMerge w:val="restart"/>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金融营销技能</w:t>
            </w:r>
          </w:p>
        </w:tc>
        <w:tc>
          <w:tcPr>
            <w:tcW w:w="3360" w:type="dxa"/>
            <w:tcBorders>
              <w:bottom w:val="single" w:color="auto" w:sz="4" w:space="0"/>
            </w:tcBorders>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代理保险业务</w:t>
            </w:r>
          </w:p>
        </w:tc>
        <w:tc>
          <w:tcPr>
            <w:tcW w:w="741" w:type="dxa"/>
            <w:tcBorders>
              <w:top w:val="single" w:color="auto" w:sz="4" w:space="0"/>
              <w:bottom w:val="single" w:color="auto" w:sz="4" w:space="0"/>
            </w:tcBorders>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10</w:t>
            </w:r>
          </w:p>
        </w:tc>
        <w:tc>
          <w:tcPr>
            <w:tcW w:w="1275" w:type="dxa"/>
            <w:vMerge w:val="restart"/>
            <w:tcBorders>
              <w:top w:val="single" w:color="auto" w:sz="4" w:space="0"/>
            </w:tcBorders>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40</w:t>
            </w:r>
          </w:p>
        </w:tc>
        <w:tc>
          <w:tcPr>
            <w:tcW w:w="1415" w:type="dxa"/>
            <w:vMerge w:val="restart"/>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系统评分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7" w:hRule="atLeast"/>
        </w:trPr>
        <w:tc>
          <w:tcPr>
            <w:tcW w:w="2248" w:type="dxa"/>
            <w:vMerge w:val="continue"/>
            <w:vAlign w:val="center"/>
          </w:tcPr>
          <w:p>
            <w:pPr>
              <w:spacing w:line="360" w:lineRule="auto"/>
              <w:jc w:val="center"/>
              <w:rPr>
                <w:rFonts w:asciiTheme="minorEastAsia" w:hAnsiTheme="minorEastAsia" w:cstheme="minorEastAsia"/>
                <w:szCs w:val="21"/>
              </w:rPr>
            </w:pPr>
          </w:p>
        </w:tc>
        <w:tc>
          <w:tcPr>
            <w:tcW w:w="3360" w:type="dxa"/>
            <w:tcBorders>
              <w:top w:val="single" w:color="auto" w:sz="4" w:space="0"/>
              <w:bottom w:val="single" w:color="auto" w:sz="4" w:space="0"/>
            </w:tcBorders>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个人理财业务</w:t>
            </w:r>
          </w:p>
        </w:tc>
        <w:tc>
          <w:tcPr>
            <w:tcW w:w="741" w:type="dxa"/>
            <w:tcBorders>
              <w:top w:val="single" w:color="auto" w:sz="4" w:space="0"/>
              <w:bottom w:val="single" w:color="auto" w:sz="4" w:space="0"/>
            </w:tcBorders>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10</w:t>
            </w:r>
          </w:p>
        </w:tc>
        <w:tc>
          <w:tcPr>
            <w:tcW w:w="1275" w:type="dxa"/>
            <w:vMerge w:val="continue"/>
            <w:vAlign w:val="center"/>
          </w:tcPr>
          <w:p>
            <w:pPr>
              <w:spacing w:line="360" w:lineRule="auto"/>
              <w:jc w:val="center"/>
              <w:rPr>
                <w:rFonts w:asciiTheme="minorEastAsia" w:hAnsiTheme="minorEastAsia" w:cstheme="minorEastAsia"/>
                <w:szCs w:val="21"/>
              </w:rPr>
            </w:pPr>
          </w:p>
        </w:tc>
        <w:tc>
          <w:tcPr>
            <w:tcW w:w="1415" w:type="dxa"/>
            <w:vMerge w:val="continue"/>
            <w:vAlign w:val="center"/>
          </w:tcPr>
          <w:p>
            <w:pPr>
              <w:spacing w:line="360" w:lineRule="auto"/>
              <w:jc w:val="center"/>
              <w:rPr>
                <w:rFonts w:asciiTheme="minorEastAsia" w:hAnsiTheme="minorEastAsia" w:cs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7" w:hRule="atLeast"/>
        </w:trPr>
        <w:tc>
          <w:tcPr>
            <w:tcW w:w="2248" w:type="dxa"/>
            <w:vMerge w:val="continue"/>
            <w:vAlign w:val="center"/>
          </w:tcPr>
          <w:p>
            <w:pPr>
              <w:spacing w:line="360" w:lineRule="auto"/>
              <w:jc w:val="center"/>
              <w:rPr>
                <w:rFonts w:asciiTheme="minorEastAsia" w:hAnsiTheme="minorEastAsia" w:cstheme="minorEastAsia"/>
                <w:szCs w:val="21"/>
              </w:rPr>
            </w:pPr>
          </w:p>
        </w:tc>
        <w:tc>
          <w:tcPr>
            <w:tcW w:w="3360" w:type="dxa"/>
            <w:tcBorders>
              <w:top w:val="single" w:color="auto" w:sz="4" w:space="0"/>
            </w:tcBorders>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金融产品营销</w:t>
            </w:r>
          </w:p>
        </w:tc>
        <w:tc>
          <w:tcPr>
            <w:tcW w:w="741" w:type="dxa"/>
            <w:tcBorders>
              <w:top w:val="single" w:color="auto" w:sz="4" w:space="0"/>
            </w:tcBorders>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20</w:t>
            </w:r>
          </w:p>
        </w:tc>
        <w:tc>
          <w:tcPr>
            <w:tcW w:w="1275" w:type="dxa"/>
            <w:vMerge w:val="continue"/>
            <w:vAlign w:val="center"/>
          </w:tcPr>
          <w:p>
            <w:pPr>
              <w:spacing w:line="360" w:lineRule="auto"/>
              <w:jc w:val="center"/>
              <w:rPr>
                <w:rFonts w:asciiTheme="minorEastAsia" w:hAnsiTheme="minorEastAsia" w:cstheme="minorEastAsia"/>
                <w:szCs w:val="21"/>
              </w:rPr>
            </w:pPr>
          </w:p>
        </w:tc>
        <w:tc>
          <w:tcPr>
            <w:tcW w:w="1415" w:type="dxa"/>
            <w:vMerge w:val="continue"/>
            <w:vAlign w:val="center"/>
          </w:tcPr>
          <w:p>
            <w:pPr>
              <w:spacing w:line="360" w:lineRule="auto"/>
              <w:jc w:val="center"/>
              <w:rPr>
                <w:rFonts w:asciiTheme="minorEastAsia" w:hAnsiTheme="minorEastAsia" w:cs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1" w:hRule="atLeast"/>
        </w:trPr>
        <w:tc>
          <w:tcPr>
            <w:tcW w:w="2248" w:type="dxa"/>
            <w:vMerge w:val="restart"/>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票据业务处理</w:t>
            </w:r>
          </w:p>
        </w:tc>
        <w:tc>
          <w:tcPr>
            <w:tcW w:w="3360" w:type="dxa"/>
            <w:tcBorders>
              <w:bottom w:val="single" w:color="auto" w:sz="4" w:space="0"/>
            </w:tcBorders>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支票审核业务</w:t>
            </w:r>
          </w:p>
        </w:tc>
        <w:tc>
          <w:tcPr>
            <w:tcW w:w="741" w:type="dxa"/>
            <w:tcBorders>
              <w:top w:val="single" w:color="auto" w:sz="4" w:space="0"/>
              <w:bottom w:val="single" w:color="auto" w:sz="4" w:space="0"/>
            </w:tcBorders>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10</w:t>
            </w:r>
          </w:p>
        </w:tc>
        <w:tc>
          <w:tcPr>
            <w:tcW w:w="1275" w:type="dxa"/>
            <w:vMerge w:val="restart"/>
            <w:tcBorders>
              <w:top w:val="single" w:color="auto" w:sz="4" w:space="0"/>
            </w:tcBorders>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60</w:t>
            </w:r>
          </w:p>
        </w:tc>
        <w:tc>
          <w:tcPr>
            <w:tcW w:w="1415" w:type="dxa"/>
            <w:vMerge w:val="restart"/>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系统评分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3" w:hRule="atLeast"/>
        </w:trPr>
        <w:tc>
          <w:tcPr>
            <w:tcW w:w="2248" w:type="dxa"/>
            <w:vMerge w:val="continue"/>
            <w:vAlign w:val="center"/>
          </w:tcPr>
          <w:p>
            <w:pPr>
              <w:spacing w:line="360" w:lineRule="auto"/>
              <w:jc w:val="center"/>
              <w:rPr>
                <w:rFonts w:asciiTheme="minorEastAsia" w:hAnsiTheme="minorEastAsia" w:cstheme="minorEastAsia"/>
                <w:szCs w:val="21"/>
              </w:rPr>
            </w:pPr>
          </w:p>
        </w:tc>
        <w:tc>
          <w:tcPr>
            <w:tcW w:w="3360" w:type="dxa"/>
            <w:tcBorders>
              <w:top w:val="single" w:color="auto" w:sz="4" w:space="0"/>
              <w:bottom w:val="single" w:color="auto" w:sz="4" w:space="0"/>
            </w:tcBorders>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银行承兑汇票审核业务</w:t>
            </w:r>
          </w:p>
        </w:tc>
        <w:tc>
          <w:tcPr>
            <w:tcW w:w="741" w:type="dxa"/>
            <w:tcBorders>
              <w:top w:val="single" w:color="auto" w:sz="4" w:space="0"/>
              <w:bottom w:val="single" w:color="auto" w:sz="4" w:space="0"/>
            </w:tcBorders>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10</w:t>
            </w:r>
          </w:p>
        </w:tc>
        <w:tc>
          <w:tcPr>
            <w:tcW w:w="1275" w:type="dxa"/>
            <w:vMerge w:val="continue"/>
            <w:vAlign w:val="center"/>
          </w:tcPr>
          <w:p>
            <w:pPr>
              <w:spacing w:line="360" w:lineRule="auto"/>
              <w:jc w:val="center"/>
              <w:rPr>
                <w:rFonts w:asciiTheme="minorEastAsia" w:hAnsiTheme="minorEastAsia" w:cstheme="minorEastAsia"/>
                <w:szCs w:val="21"/>
              </w:rPr>
            </w:pPr>
          </w:p>
        </w:tc>
        <w:tc>
          <w:tcPr>
            <w:tcW w:w="1415" w:type="dxa"/>
            <w:vMerge w:val="continue"/>
            <w:vAlign w:val="center"/>
          </w:tcPr>
          <w:p>
            <w:pPr>
              <w:spacing w:line="360" w:lineRule="auto"/>
              <w:jc w:val="center"/>
              <w:rPr>
                <w:rFonts w:asciiTheme="minorEastAsia" w:hAnsiTheme="minorEastAsia" w:cs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8" w:hRule="atLeast"/>
        </w:trPr>
        <w:tc>
          <w:tcPr>
            <w:tcW w:w="2248" w:type="dxa"/>
            <w:vMerge w:val="continue"/>
            <w:vAlign w:val="center"/>
          </w:tcPr>
          <w:p>
            <w:pPr>
              <w:spacing w:line="360" w:lineRule="auto"/>
              <w:jc w:val="center"/>
              <w:rPr>
                <w:rFonts w:asciiTheme="minorEastAsia" w:hAnsiTheme="minorEastAsia" w:cstheme="minorEastAsia"/>
                <w:szCs w:val="21"/>
              </w:rPr>
            </w:pPr>
          </w:p>
        </w:tc>
        <w:tc>
          <w:tcPr>
            <w:tcW w:w="3360" w:type="dxa"/>
            <w:tcBorders>
              <w:top w:val="single" w:color="auto" w:sz="4" w:space="0"/>
              <w:bottom w:val="single" w:color="auto" w:sz="4" w:space="0"/>
            </w:tcBorders>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支票业务处理</w:t>
            </w:r>
          </w:p>
        </w:tc>
        <w:tc>
          <w:tcPr>
            <w:tcW w:w="741" w:type="dxa"/>
            <w:tcBorders>
              <w:top w:val="single" w:color="auto" w:sz="4" w:space="0"/>
              <w:bottom w:val="single" w:color="auto" w:sz="4" w:space="0"/>
            </w:tcBorders>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20</w:t>
            </w:r>
          </w:p>
        </w:tc>
        <w:tc>
          <w:tcPr>
            <w:tcW w:w="1275" w:type="dxa"/>
            <w:vMerge w:val="continue"/>
            <w:vAlign w:val="center"/>
          </w:tcPr>
          <w:p>
            <w:pPr>
              <w:spacing w:line="360" w:lineRule="auto"/>
              <w:jc w:val="center"/>
              <w:rPr>
                <w:rFonts w:asciiTheme="minorEastAsia" w:hAnsiTheme="minorEastAsia" w:cstheme="minorEastAsia"/>
                <w:szCs w:val="21"/>
              </w:rPr>
            </w:pPr>
          </w:p>
        </w:tc>
        <w:tc>
          <w:tcPr>
            <w:tcW w:w="1415" w:type="dxa"/>
            <w:vMerge w:val="continue"/>
            <w:vAlign w:val="center"/>
          </w:tcPr>
          <w:p>
            <w:pPr>
              <w:spacing w:line="360" w:lineRule="auto"/>
              <w:jc w:val="center"/>
              <w:rPr>
                <w:rFonts w:asciiTheme="minorEastAsia" w:hAnsiTheme="minorEastAsia" w:cs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8" w:hRule="atLeast"/>
        </w:trPr>
        <w:tc>
          <w:tcPr>
            <w:tcW w:w="2248" w:type="dxa"/>
            <w:vMerge w:val="continue"/>
            <w:vAlign w:val="center"/>
          </w:tcPr>
          <w:p>
            <w:pPr>
              <w:spacing w:line="360" w:lineRule="auto"/>
              <w:jc w:val="center"/>
              <w:rPr>
                <w:rFonts w:asciiTheme="minorEastAsia" w:hAnsiTheme="minorEastAsia" w:cstheme="minorEastAsia"/>
                <w:szCs w:val="21"/>
              </w:rPr>
            </w:pPr>
          </w:p>
        </w:tc>
        <w:tc>
          <w:tcPr>
            <w:tcW w:w="3360" w:type="dxa"/>
            <w:tcBorders>
              <w:top w:val="single" w:color="auto" w:sz="4" w:space="0"/>
            </w:tcBorders>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银行承兑汇票业务处理</w:t>
            </w:r>
          </w:p>
        </w:tc>
        <w:tc>
          <w:tcPr>
            <w:tcW w:w="741" w:type="dxa"/>
            <w:tcBorders>
              <w:top w:val="single" w:color="auto" w:sz="4" w:space="0"/>
            </w:tcBorders>
            <w:vAlign w:val="center"/>
          </w:tcPr>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20</w:t>
            </w:r>
          </w:p>
        </w:tc>
        <w:tc>
          <w:tcPr>
            <w:tcW w:w="1275" w:type="dxa"/>
            <w:vMerge w:val="continue"/>
            <w:vAlign w:val="center"/>
          </w:tcPr>
          <w:p>
            <w:pPr>
              <w:spacing w:line="360" w:lineRule="auto"/>
              <w:jc w:val="center"/>
              <w:rPr>
                <w:rFonts w:asciiTheme="minorEastAsia" w:hAnsiTheme="minorEastAsia" w:cstheme="minorEastAsia"/>
                <w:szCs w:val="21"/>
              </w:rPr>
            </w:pPr>
          </w:p>
        </w:tc>
        <w:tc>
          <w:tcPr>
            <w:tcW w:w="1415" w:type="dxa"/>
            <w:vMerge w:val="continue"/>
            <w:vAlign w:val="center"/>
          </w:tcPr>
          <w:p>
            <w:pPr>
              <w:spacing w:line="360" w:lineRule="auto"/>
              <w:jc w:val="center"/>
              <w:rPr>
                <w:rFonts w:asciiTheme="minorEastAsia" w:hAnsiTheme="minorEastAsia" w:cstheme="minorEastAsia"/>
                <w:szCs w:val="21"/>
              </w:rPr>
            </w:pPr>
          </w:p>
        </w:tc>
      </w:tr>
    </w:tbl>
    <w:p>
      <w:pPr>
        <w:spacing w:line="360" w:lineRule="auto"/>
        <w:ind w:firstLine="600"/>
        <w:rPr>
          <w:rFonts w:ascii="仿宋_GB2312" w:hAnsi="仿宋_GB2312" w:eastAsia="仿宋_GB2312" w:cs="仿宋_GB2312"/>
          <w:sz w:val="24"/>
        </w:rPr>
      </w:pPr>
    </w:p>
    <w:p>
      <w:pPr>
        <w:spacing w:line="360" w:lineRule="auto"/>
        <w:ind w:firstLine="600"/>
        <w:rPr>
          <w:rFonts w:ascii="仿宋_GB2312" w:hAnsi="仿宋_GB2312" w:eastAsia="仿宋_GB2312" w:cs="仿宋_GB2312"/>
          <w:sz w:val="24"/>
        </w:rPr>
      </w:pPr>
      <w:r>
        <w:rPr>
          <w:rFonts w:hint="eastAsia" w:ascii="仿宋_GB2312" w:hAnsi="仿宋_GB2312" w:eastAsia="仿宋_GB2312" w:cs="仿宋_GB2312"/>
          <w:sz w:val="24"/>
        </w:rPr>
        <w:t>4.分值统计</w:t>
      </w:r>
    </w:p>
    <w:p>
      <w:pPr>
        <w:spacing w:line="360" w:lineRule="auto"/>
        <w:ind w:firstLine="600"/>
        <w:rPr>
          <w:rFonts w:ascii="仿宋_GB2312" w:hAnsi="仿宋_GB2312" w:eastAsia="仿宋_GB2312" w:cs="仿宋_GB2312"/>
          <w:sz w:val="24"/>
        </w:rPr>
      </w:pPr>
      <w:r>
        <w:rPr>
          <w:rFonts w:ascii="仿宋_GB2312" w:hAnsi="仿宋_GB2312" w:eastAsia="仿宋_GB2312" w:cs="仿宋_GB2312"/>
          <w:sz w:val="24"/>
        </w:rPr>
        <w:t>“</w:t>
      </w:r>
      <w:r>
        <w:rPr>
          <w:rFonts w:hint="eastAsia" w:ascii="仿宋_GB2312" w:hAnsi="仿宋_GB2312" w:eastAsia="仿宋_GB2312" w:cs="仿宋_GB2312"/>
          <w:sz w:val="24"/>
        </w:rPr>
        <w:t>银行从业知识</w:t>
      </w:r>
      <w:r>
        <w:rPr>
          <w:rFonts w:ascii="仿宋_GB2312" w:hAnsi="仿宋_GB2312" w:eastAsia="仿宋_GB2312" w:cs="仿宋_GB2312"/>
          <w:sz w:val="24"/>
        </w:rPr>
        <w:t>”</w:t>
      </w:r>
      <w:r>
        <w:rPr>
          <w:rFonts w:hint="eastAsia" w:ascii="仿宋_GB2312" w:hAnsi="仿宋_GB2312" w:eastAsia="仿宋_GB2312" w:cs="仿宋_GB2312"/>
          <w:sz w:val="24"/>
        </w:rPr>
        <w:t>竞赛团队总分400分、</w:t>
      </w:r>
      <w:r>
        <w:rPr>
          <w:rFonts w:ascii="仿宋_GB2312" w:hAnsi="仿宋_GB2312" w:eastAsia="仿宋_GB2312" w:cs="仿宋_GB2312"/>
          <w:sz w:val="24"/>
        </w:rPr>
        <w:t>“</w:t>
      </w:r>
      <w:r>
        <w:rPr>
          <w:rFonts w:hint="eastAsia" w:ascii="仿宋_GB2312" w:hAnsi="仿宋_GB2312" w:eastAsia="仿宋_GB2312" w:cs="仿宋_GB2312"/>
          <w:sz w:val="24"/>
        </w:rPr>
        <w:t>银行基本技能</w:t>
      </w:r>
      <w:r>
        <w:rPr>
          <w:rFonts w:ascii="仿宋_GB2312" w:hAnsi="仿宋_GB2312" w:eastAsia="仿宋_GB2312" w:cs="仿宋_GB2312"/>
          <w:sz w:val="24"/>
        </w:rPr>
        <w:t>”</w:t>
      </w:r>
      <w:r>
        <w:rPr>
          <w:rFonts w:hint="eastAsia" w:ascii="仿宋_GB2312" w:hAnsi="仿宋_GB2312" w:eastAsia="仿宋_GB2312" w:cs="仿宋_GB2312"/>
          <w:sz w:val="24"/>
        </w:rPr>
        <w:t>竞赛团队总分400分、</w:t>
      </w:r>
      <w:r>
        <w:rPr>
          <w:rFonts w:ascii="仿宋_GB2312" w:hAnsi="仿宋_GB2312" w:eastAsia="仿宋_GB2312" w:cs="仿宋_GB2312"/>
          <w:sz w:val="24"/>
        </w:rPr>
        <w:t>“</w:t>
      </w:r>
      <w:r>
        <w:rPr>
          <w:rFonts w:hint="eastAsia" w:ascii="仿宋_GB2312" w:hAnsi="仿宋_GB2312" w:eastAsia="仿宋_GB2312" w:cs="仿宋_GB2312"/>
          <w:sz w:val="24"/>
        </w:rPr>
        <w:t>银行业务能力</w:t>
      </w:r>
      <w:r>
        <w:rPr>
          <w:rFonts w:ascii="仿宋_GB2312" w:hAnsi="仿宋_GB2312" w:eastAsia="仿宋_GB2312" w:cs="仿宋_GB2312"/>
          <w:sz w:val="24"/>
        </w:rPr>
        <w:t>”</w:t>
      </w:r>
      <w:r>
        <w:rPr>
          <w:rFonts w:hint="eastAsia" w:ascii="仿宋_GB2312" w:hAnsi="仿宋_GB2312" w:eastAsia="仿宋_GB2312" w:cs="仿宋_GB2312"/>
          <w:sz w:val="24"/>
        </w:rPr>
        <w:t>竞赛团队总分1200分。团队满分合计2000分。</w:t>
      </w:r>
    </w:p>
    <w:p>
      <w:pPr>
        <w:spacing w:line="360" w:lineRule="auto"/>
        <w:jc w:val="center"/>
        <w:rPr>
          <w:rFonts w:ascii="仿宋_GB2312" w:hAnsi="仿宋_GB2312" w:eastAsia="仿宋_GB2312" w:cs="仿宋_GB2312"/>
          <w:sz w:val="30"/>
          <w:szCs w:val="30"/>
        </w:rPr>
      </w:pPr>
      <w:r>
        <w:drawing>
          <wp:inline distT="0" distB="0" distL="0" distR="0">
            <wp:extent cx="5204460" cy="2674620"/>
            <wp:effectExtent l="19050" t="0" r="14826"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pacing w:line="360" w:lineRule="auto"/>
      </w:pPr>
    </w:p>
    <w:p>
      <w:pPr>
        <w:spacing w:line="360" w:lineRule="auto"/>
      </w:pPr>
    </w:p>
    <w:p>
      <w:pPr>
        <w:spacing w:line="360" w:lineRule="auto"/>
      </w:pPr>
    </w:p>
    <w:p>
      <w:pPr>
        <w:spacing w:line="360" w:lineRule="auto"/>
      </w:pPr>
    </w:p>
    <w:p>
      <w:pPr>
        <w:spacing w:line="360" w:lineRule="auto"/>
      </w:pPr>
    </w:p>
    <w:p>
      <w:pPr>
        <w:rPr>
          <w:rFonts w:ascii="宋体" w:hAnsi="宋体" w:eastAsia="宋体" w:cs="宋体"/>
          <w:sz w:val="24"/>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微软雅黑">
    <w:panose1 w:val="020B0503020204020204"/>
    <w:charset w:val="86"/>
    <w:family w:val="swiss"/>
    <w:pitch w:val="default"/>
    <w:sig w:usb0="80000287" w:usb1="280F3C52" w:usb2="00000016" w:usb3="00000000" w:csb0="0004001F" w:csb1="00000000"/>
  </w:font>
  <w:font w:name="Calibri Light">
    <w:altName w:val="Calibri"/>
    <w:panose1 w:val="00000000000000000000"/>
    <w:charset w:val="00"/>
    <w:family w:val="swiss"/>
    <w:pitch w:val="default"/>
    <w:sig w:usb0="00000000"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bookmarkStart w:id="3" w:name="_GoBack"/>
    <w:bookmarkEnd w:id="3"/>
    <w:r>
      <w:rPr>
        <w:sz w:val="18"/>
      </w:rPr>
      <w:pict>
        <v:shape id="_x0000_s3073" o:spid="_x0000_s3073"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3D3DEE"/>
    <w:multiLevelType w:val="singleLevel"/>
    <w:tmpl w:val="583D3DEE"/>
    <w:lvl w:ilvl="0" w:tentative="0">
      <w:start w:val="3"/>
      <w:numFmt w:val="decimal"/>
      <w:suff w:val="nothing"/>
      <w:lvlText w:val="%1."/>
      <w:lvlJc w:val="left"/>
    </w:lvl>
  </w:abstractNum>
  <w:abstractNum w:abstractNumId="1">
    <w:nsid w:val="583D3E32"/>
    <w:multiLevelType w:val="singleLevel"/>
    <w:tmpl w:val="583D3E32"/>
    <w:lvl w:ilvl="0" w:tentative="0">
      <w:start w:val="1"/>
      <w:numFmt w:val="upperLetter"/>
      <w:suff w:val="nothing"/>
      <w:lvlText w:val="%1."/>
      <w:lvlJc w:val="left"/>
    </w:lvl>
  </w:abstractNum>
  <w:abstractNum w:abstractNumId="2">
    <w:nsid w:val="58FEFAE2"/>
    <w:multiLevelType w:val="singleLevel"/>
    <w:tmpl w:val="58FEFAE2"/>
    <w:lvl w:ilvl="0" w:tentative="0">
      <w:start w:val="1"/>
      <w:numFmt w:val="decimal"/>
      <w:suff w:val="nothing"/>
      <w:lvlText w:val="%1、"/>
      <w:lvlJc w:val="left"/>
    </w:lvl>
  </w:abstractNum>
  <w:abstractNum w:abstractNumId="3">
    <w:nsid w:val="59018F7E"/>
    <w:multiLevelType w:val="singleLevel"/>
    <w:tmpl w:val="59018F7E"/>
    <w:lvl w:ilvl="0" w:tentative="0">
      <w:start w:val="1"/>
      <w:numFmt w:val="decimal"/>
      <w:suff w:val="nothing"/>
      <w:lvlText w:val="（%1）"/>
      <w:lvlJc w:val="left"/>
    </w:lvl>
  </w:abstractNum>
  <w:abstractNum w:abstractNumId="4">
    <w:nsid w:val="59019A99"/>
    <w:multiLevelType w:val="singleLevel"/>
    <w:tmpl w:val="59019A99"/>
    <w:lvl w:ilvl="0" w:tentative="0">
      <w:start w:val="1"/>
      <w:numFmt w:val="decimal"/>
      <w:suff w:val="nothing"/>
      <w:lvlText w:val="（%1）"/>
      <w:lvlJc w:val="left"/>
    </w:lvl>
  </w:abstractNum>
  <w:abstractNum w:abstractNumId="5">
    <w:nsid w:val="59019F84"/>
    <w:multiLevelType w:val="singleLevel"/>
    <w:tmpl w:val="59019F84"/>
    <w:lvl w:ilvl="0" w:tentative="0">
      <w:start w:val="1"/>
      <w:numFmt w:val="decimal"/>
      <w:suff w:val="nothing"/>
      <w:lvlText w:val="（%1）"/>
      <w:lvlJc w:val="left"/>
    </w:lvl>
  </w:abstractNum>
  <w:abstractNum w:abstractNumId="6">
    <w:nsid w:val="59019FE6"/>
    <w:multiLevelType w:val="singleLevel"/>
    <w:tmpl w:val="59019FE6"/>
    <w:lvl w:ilvl="0" w:tentative="0">
      <w:start w:val="3"/>
      <w:numFmt w:val="decimal"/>
      <w:suff w:val="nothing"/>
      <w:lvlText w:val="（%1）"/>
      <w:lvlJc w:val="left"/>
    </w:lvl>
  </w:abstractNum>
  <w:abstractNum w:abstractNumId="7">
    <w:nsid w:val="5901C97B"/>
    <w:multiLevelType w:val="singleLevel"/>
    <w:tmpl w:val="5901C97B"/>
    <w:lvl w:ilvl="0" w:tentative="0">
      <w:start w:val="1"/>
      <w:numFmt w:val="decimal"/>
      <w:suff w:val="nothing"/>
      <w:lvlText w:val="（%1）"/>
      <w:lvlJc w:val="left"/>
    </w:lvl>
  </w:abstractNum>
  <w:abstractNum w:abstractNumId="8">
    <w:nsid w:val="59755991"/>
    <w:multiLevelType w:val="singleLevel"/>
    <w:tmpl w:val="59755991"/>
    <w:lvl w:ilvl="0" w:tentative="0">
      <w:start w:val="1"/>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6F7451"/>
    <w:rsid w:val="000148BE"/>
    <w:rsid w:val="000850BB"/>
    <w:rsid w:val="00147BDD"/>
    <w:rsid w:val="001D5FCB"/>
    <w:rsid w:val="001E7D24"/>
    <w:rsid w:val="00301C65"/>
    <w:rsid w:val="003C6B49"/>
    <w:rsid w:val="00507C46"/>
    <w:rsid w:val="00580C0C"/>
    <w:rsid w:val="006F7451"/>
    <w:rsid w:val="007B795A"/>
    <w:rsid w:val="0089047B"/>
    <w:rsid w:val="00B157AF"/>
    <w:rsid w:val="00EC56AE"/>
    <w:rsid w:val="011F520F"/>
    <w:rsid w:val="020E7745"/>
    <w:rsid w:val="04C3153D"/>
    <w:rsid w:val="04C73A90"/>
    <w:rsid w:val="059C5191"/>
    <w:rsid w:val="0E6A17BD"/>
    <w:rsid w:val="0E812B38"/>
    <w:rsid w:val="0FF10D8A"/>
    <w:rsid w:val="1005677B"/>
    <w:rsid w:val="114553D5"/>
    <w:rsid w:val="116D2A85"/>
    <w:rsid w:val="11C33D66"/>
    <w:rsid w:val="13120DF8"/>
    <w:rsid w:val="13EA49CF"/>
    <w:rsid w:val="14EE52E4"/>
    <w:rsid w:val="176E3A5C"/>
    <w:rsid w:val="19D35A2E"/>
    <w:rsid w:val="1A175791"/>
    <w:rsid w:val="1A8F3A9D"/>
    <w:rsid w:val="1E4935F1"/>
    <w:rsid w:val="20C950A7"/>
    <w:rsid w:val="21CB4CCA"/>
    <w:rsid w:val="23060FC1"/>
    <w:rsid w:val="241B0897"/>
    <w:rsid w:val="26F85E7C"/>
    <w:rsid w:val="278D6A9D"/>
    <w:rsid w:val="28DA190B"/>
    <w:rsid w:val="2CFC490A"/>
    <w:rsid w:val="2D3B1A1F"/>
    <w:rsid w:val="2DAA0326"/>
    <w:rsid w:val="2EC31EFE"/>
    <w:rsid w:val="2F5A61F9"/>
    <w:rsid w:val="301F12C6"/>
    <w:rsid w:val="31FC204D"/>
    <w:rsid w:val="332C27B8"/>
    <w:rsid w:val="34D85C5E"/>
    <w:rsid w:val="35F27039"/>
    <w:rsid w:val="369E161E"/>
    <w:rsid w:val="39492D43"/>
    <w:rsid w:val="39B22539"/>
    <w:rsid w:val="39BF6E41"/>
    <w:rsid w:val="3A2F1F3C"/>
    <w:rsid w:val="3B5077E4"/>
    <w:rsid w:val="3D0A6003"/>
    <w:rsid w:val="3D7A4E7F"/>
    <w:rsid w:val="3DBE6BD0"/>
    <w:rsid w:val="3F204DC7"/>
    <w:rsid w:val="42674959"/>
    <w:rsid w:val="42EA75EE"/>
    <w:rsid w:val="44D77F6E"/>
    <w:rsid w:val="458472DE"/>
    <w:rsid w:val="45E04ACE"/>
    <w:rsid w:val="46164440"/>
    <w:rsid w:val="49A569F3"/>
    <w:rsid w:val="4A5F7CCE"/>
    <w:rsid w:val="4B966529"/>
    <w:rsid w:val="4C9667D6"/>
    <w:rsid w:val="53CF2244"/>
    <w:rsid w:val="553D120A"/>
    <w:rsid w:val="57E26C79"/>
    <w:rsid w:val="5A461410"/>
    <w:rsid w:val="5B843983"/>
    <w:rsid w:val="5D647E7C"/>
    <w:rsid w:val="5DB04865"/>
    <w:rsid w:val="5E9A1762"/>
    <w:rsid w:val="5EE358AA"/>
    <w:rsid w:val="5F7252A8"/>
    <w:rsid w:val="60B8096B"/>
    <w:rsid w:val="60F53D2B"/>
    <w:rsid w:val="63094A0D"/>
    <w:rsid w:val="644059B1"/>
    <w:rsid w:val="66934043"/>
    <w:rsid w:val="66DB174C"/>
    <w:rsid w:val="68CE48AA"/>
    <w:rsid w:val="6CD114A2"/>
    <w:rsid w:val="6DC62987"/>
    <w:rsid w:val="6EA81CCB"/>
    <w:rsid w:val="6FB11F84"/>
    <w:rsid w:val="71CA0CDF"/>
    <w:rsid w:val="725A7B03"/>
    <w:rsid w:val="72C65404"/>
    <w:rsid w:val="745B51F3"/>
    <w:rsid w:val="74DF06FC"/>
    <w:rsid w:val="753D6C84"/>
    <w:rsid w:val="75EA28B1"/>
    <w:rsid w:val="782909C6"/>
    <w:rsid w:val="79A81608"/>
    <w:rsid w:val="79F71800"/>
    <w:rsid w:val="7A3754BE"/>
    <w:rsid w:val="7BFE2B9D"/>
    <w:rsid w:val="7D043AAA"/>
    <w:rsid w:val="7E0230FE"/>
    <w:rsid w:val="7FC011F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link w:val="15"/>
    <w:unhideWhenUsed/>
    <w:qFormat/>
    <w:uiPriority w:val="9"/>
    <w:pPr>
      <w:keepNext/>
      <w:keepLines/>
      <w:spacing w:before="260" w:after="260" w:line="413" w:lineRule="auto"/>
      <w:outlineLvl w:val="2"/>
    </w:pPr>
    <w:rPr>
      <w:rFonts w:eastAsia="仿宋"/>
      <w:b/>
      <w:sz w:val="28"/>
      <w:szCs w:val="22"/>
    </w:rPr>
  </w:style>
  <w:style w:type="character" w:default="1" w:styleId="7">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Body Text"/>
    <w:basedOn w:val="1"/>
    <w:qFormat/>
    <w:uiPriority w:val="0"/>
    <w:pPr>
      <w:spacing w:after="120"/>
    </w:pPr>
  </w:style>
  <w:style w:type="paragraph" w:styleId="4">
    <w:name w:val="Balloon Text"/>
    <w:basedOn w:val="1"/>
    <w:link w:val="17"/>
    <w:uiPriority w:val="0"/>
    <w:rPr>
      <w:sz w:val="18"/>
      <w:szCs w:val="18"/>
    </w:rPr>
  </w:style>
  <w:style w:type="paragraph" w:styleId="5">
    <w:name w:val="footer"/>
    <w:basedOn w:val="1"/>
    <w:link w:val="13"/>
    <w:uiPriority w:val="0"/>
    <w:pPr>
      <w:tabs>
        <w:tab w:val="center" w:pos="4153"/>
        <w:tab w:val="right" w:pos="8306"/>
      </w:tabs>
      <w:snapToGrid w:val="0"/>
      <w:jc w:val="left"/>
    </w:pPr>
    <w:rPr>
      <w:sz w:val="18"/>
      <w:szCs w:val="18"/>
    </w:rPr>
  </w:style>
  <w:style w:type="paragraph" w:styleId="6">
    <w:name w:val="header"/>
    <w:basedOn w:val="1"/>
    <w:link w:val="12"/>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0">
    <w:name w:val="Char"/>
    <w:basedOn w:val="1"/>
    <w:qFormat/>
    <w:uiPriority w:val="0"/>
    <w:pPr>
      <w:widowControl/>
      <w:spacing w:after="160" w:line="240" w:lineRule="exact"/>
      <w:jc w:val="left"/>
    </w:pPr>
    <w:rPr>
      <w:rFonts w:ascii="Arial" w:hAnsi="Arial" w:eastAsia="Times New Roman" w:cs="Verdana"/>
      <w:b/>
      <w:kern w:val="0"/>
      <w:sz w:val="24"/>
      <w:lang w:eastAsia="en-US"/>
    </w:rPr>
  </w:style>
  <w:style w:type="character" w:customStyle="1" w:styleId="11">
    <w:name w:val="content"/>
    <w:basedOn w:val="7"/>
    <w:qFormat/>
    <w:uiPriority w:val="0"/>
    <w:rPr>
      <w:rFonts w:cs="Times New Roman"/>
    </w:rPr>
  </w:style>
  <w:style w:type="character" w:customStyle="1" w:styleId="12">
    <w:name w:val="页眉 Char"/>
    <w:basedOn w:val="7"/>
    <w:link w:val="6"/>
    <w:uiPriority w:val="0"/>
    <w:rPr>
      <w:kern w:val="2"/>
      <w:sz w:val="18"/>
      <w:szCs w:val="18"/>
    </w:rPr>
  </w:style>
  <w:style w:type="character" w:customStyle="1" w:styleId="13">
    <w:name w:val="页脚 Char"/>
    <w:basedOn w:val="7"/>
    <w:link w:val="5"/>
    <w:uiPriority w:val="0"/>
    <w:rPr>
      <w:kern w:val="2"/>
      <w:sz w:val="18"/>
      <w:szCs w:val="18"/>
    </w:rPr>
  </w:style>
  <w:style w:type="paragraph" w:styleId="14">
    <w:name w:val="List Paragraph"/>
    <w:basedOn w:val="1"/>
    <w:unhideWhenUsed/>
    <w:uiPriority w:val="99"/>
    <w:pPr>
      <w:ind w:firstLine="420" w:firstLineChars="200"/>
    </w:pPr>
  </w:style>
  <w:style w:type="character" w:customStyle="1" w:styleId="15">
    <w:name w:val="标题 3 Char"/>
    <w:basedOn w:val="7"/>
    <w:link w:val="2"/>
    <w:uiPriority w:val="9"/>
    <w:rPr>
      <w:rFonts w:eastAsia="仿宋"/>
      <w:b/>
      <w:kern w:val="2"/>
      <w:sz w:val="28"/>
      <w:szCs w:val="22"/>
    </w:rPr>
  </w:style>
  <w:style w:type="paragraph" w:customStyle="1" w:styleId="16">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7">
    <w:name w:val="批注框文本 Char"/>
    <w:basedOn w:val="7"/>
    <w:link w:val="4"/>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26"/>
    </mc:Choice>
    <mc:Fallback>
      <c:style val="26"/>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doughnutChart>
        <c:varyColors val="1"/>
        <c:ser>
          <c:idx val="0"/>
          <c:order val="0"/>
          <c:tx>
            <c:strRef>
              <c:f>Sheet1!$B$1</c:f>
              <c:strCache>
                <c:ptCount val="1"/>
                <c:pt idx="0">
                  <c:v>分值分布图</c:v>
                </c:pt>
              </c:strCache>
            </c:strRef>
          </c:tx>
          <c:explosion val="0"/>
          <c:dPt>
            <c:idx val="0"/>
            <c:bubble3D val="0"/>
          </c:dPt>
          <c:dPt>
            <c:idx val="1"/>
            <c:bubble3D val="0"/>
          </c:dPt>
          <c:dPt>
            <c:idx val="2"/>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Sheet1!$A$2:$A$4</c:f>
              <c:strCache>
                <c:ptCount val="3"/>
                <c:pt idx="0">
                  <c:v>“银行从业知识”竞赛团队总分400分</c:v>
                </c:pt>
                <c:pt idx="1">
                  <c:v>“银行基本技能”竞赛团队总分400分</c:v>
                </c:pt>
                <c:pt idx="2">
                  <c:v>“银行业务能力”竞赛团队总分1200分</c:v>
                </c:pt>
              </c:strCache>
            </c:strRef>
          </c:cat>
          <c:val>
            <c:numRef>
              <c:f>Sheet1!$B$2:$B$4</c:f>
              <c:numCache>
                <c:formatCode>0%</c:formatCode>
                <c:ptCount val="3"/>
                <c:pt idx="0">
                  <c:v>0.2</c:v>
                </c:pt>
                <c:pt idx="1">
                  <c:v>0.2</c:v>
                </c:pt>
                <c:pt idx="2">
                  <c:v>0.600000000000001</c:v>
                </c:pt>
              </c:numCache>
            </c:numRef>
          </c:val>
        </c:ser>
        <c:dLbls>
          <c:showLegendKey val="0"/>
          <c:showVal val="0"/>
          <c:showCatName val="0"/>
          <c:showSerName val="0"/>
          <c:showPercent val="1"/>
          <c:showBubbleSize val="0"/>
          <c:showLeaderLines val="1"/>
        </c:dLbls>
        <c:firstSliceAng val="0"/>
        <c:holeSize val="50"/>
      </c:doughnut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41</Pages>
  <Words>3188</Words>
  <Characters>18176</Characters>
  <Lines>151</Lines>
  <Paragraphs>42</Paragraphs>
  <ScaleCrop>false</ScaleCrop>
  <LinksUpToDate>false</LinksUpToDate>
  <CharactersWithSpaces>21322</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lenovo</cp:lastModifiedBy>
  <cp:lastPrinted>2017-10-17T06:39:00Z</cp:lastPrinted>
  <dcterms:modified xsi:type="dcterms:W3CDTF">2017-11-08T09:30:53Z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