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auto"/>
          <w:sz w:val="39"/>
          <w:szCs w:val="39"/>
        </w:rPr>
      </w:pPr>
      <w:r>
        <w:rPr>
          <w:rFonts w:hint="eastAsia" w:asciiTheme="minorEastAsia" w:hAnsiTheme="minorEastAsia" w:eastAsiaTheme="minorEastAsia" w:cstheme="minorEastAsia"/>
          <w:i w:val="0"/>
          <w:caps w:val="0"/>
          <w:color w:val="auto"/>
          <w:spacing w:val="0"/>
          <w:sz w:val="39"/>
          <w:szCs w:val="39"/>
          <w:shd w:val="clear" w:fill="FFFFFF"/>
        </w:rPr>
        <w:t>教育部 财政部关于实施中国特色高水平高职学校和专业建设计划的意见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lang w:val="en-US" w:eastAsia="zh-CN" w:bidi="ar"/>
        </w:rPr>
        <w:t>　　教职成〔2019〕5号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lang w:val="en-US" w:eastAsia="zh-CN" w:bidi="ar"/>
        </w:rPr>
        <w:t>　</w:t>
      </w:r>
      <w:bookmarkStart w:id="0" w:name="_GoBack"/>
      <w:r>
        <w:rPr>
          <w:rFonts w:hint="eastAsia" w:ascii="微软雅黑" w:hAnsi="微软雅黑" w:eastAsia="微软雅黑" w:cs="微软雅黑"/>
          <w:i w:val="0"/>
          <w:caps w:val="0"/>
          <w:color w:val="auto"/>
          <w:spacing w:val="0"/>
          <w:kern w:val="0"/>
          <w:sz w:val="24"/>
          <w:szCs w:val="24"/>
          <w:shd w:val="clear" w:fill="FFFFFF"/>
          <w:lang w:val="en-US" w:eastAsia="zh-CN" w:bidi="ar"/>
        </w:rPr>
        <w:t>　各省、自治区、直辖市教育厅（教委）、财政厅（局），新疆生产建设兵团教育局、财政局：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Style w:val="7"/>
          <w:rFonts w:hint="eastAsia" w:ascii="微软雅黑" w:hAnsi="微软雅黑" w:eastAsia="微软雅黑" w:cs="微软雅黑"/>
          <w:i w:val="0"/>
          <w:caps w:val="0"/>
          <w:color w:val="auto"/>
          <w:spacing w:val="0"/>
          <w:kern w:val="0"/>
          <w:sz w:val="24"/>
          <w:szCs w:val="24"/>
          <w:shd w:val="clear" w:fill="FFFFFF"/>
          <w:lang w:val="en-US" w:eastAsia="zh-CN" w:bidi="ar"/>
        </w:rPr>
        <w:t>　　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——坚持扶优扶强。质量为先、以点带面，兼顾区域和产业布局，支持基础条件优良、改革成效突出、办学特色鲜明的高职学校和专业群率先发展，积累可复制、可借鉴的改革经验和模式，发挥示范引领作用。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——坚持持续推进。按周期、分阶段推进建设，实行动态管理、过程监测、有进有出、优胜劣汰，完善持续支持高水平高职学校和专业群建设的机制，实现高质量发展。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（三）总体目标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围绕办好新时代职业教育的新要求，集中力量建设50所左右高水平高职学校和150个左右高水平专业群，打造技术技能人才培养高地和技术技能创新服务平台，支撑国家重点产业、区域支柱产业发展，引领新时代职业教育实现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Style w:val="7"/>
          <w:rFonts w:hint="eastAsia" w:ascii="微软雅黑" w:hAnsi="微软雅黑" w:eastAsia="微软雅黑" w:cs="微软雅黑"/>
          <w:i w:val="0"/>
          <w:caps w:val="0"/>
          <w:color w:val="auto"/>
          <w:spacing w:val="0"/>
          <w:kern w:val="0"/>
          <w:sz w:val="24"/>
          <w:szCs w:val="24"/>
          <w:shd w:val="clear" w:fill="FFFFFF"/>
          <w:lang w:val="en-US" w:eastAsia="zh-CN" w:bidi="ar"/>
        </w:rPr>
        <w:t>　　二、改革发展任务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（四）加强党的建设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（五）打造技术技能人才培养高地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（六）打造技术技能创新服务平台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（七）打造高水平专业群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新团队，探索教师分工协作的模块化教学模式，深化教材与教法改革，推动课堂革命。建立健全多方协同的专业群可持续发展保障机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（八）打造高水平双师队伍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（九）提升校企合作水平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与行业领先企业在人才培养、技术创新、社会服务、就业创业、文化传承等方面深度合作，形成校企命运共同体。把握全球产业发展、国内产业升级的新机遇，主动参与供需对接和流程再造，推动专业建设与产业发展相适应，实质推进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（十）提升服务发展水平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（十一）提升学校治理水平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（十二）提升信息化水平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（十三）提升国际化水平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Style w:val="7"/>
          <w:rFonts w:hint="eastAsia" w:ascii="微软雅黑" w:hAnsi="微软雅黑" w:eastAsia="微软雅黑" w:cs="微软雅黑"/>
          <w:i w:val="0"/>
          <w:caps w:val="0"/>
          <w:color w:val="auto"/>
          <w:spacing w:val="0"/>
          <w:kern w:val="0"/>
          <w:sz w:val="24"/>
          <w:szCs w:val="24"/>
          <w:shd w:val="clear" w:fill="FFFFFF"/>
          <w:lang w:val="en-US" w:eastAsia="zh-CN" w:bidi="ar"/>
        </w:rPr>
        <w:t>　　三、组织实施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（十四）建立协同推进机制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（十五）加强项目实施管理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（十六）健全多元投入机制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各地新增教育经费向职业教育倾斜，在完善高职生均拨款制度、逐步提高生均拨款水平的基础上，对“双高计划”学校给予重点支持，中央财政通过现代职业教育质量提升计划专项资金对“双高计划”给予奖补支持，发挥引导作用。有关部门和行业企业以共建、共培等方式积极参与项目建设。项目学校以服务求发展，积极筹集社会资源，增强自我造血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（十七）优化改革发展环境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教育部 财政部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shd w:val="clear" w:fill="FFFFFF"/>
          <w:lang w:val="en-US" w:eastAsia="zh-CN" w:bidi="ar"/>
        </w:rPr>
        <w:t>　　2019年3月29日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15E87"/>
    <w:rsid w:val="1F2D52B3"/>
    <w:rsid w:val="27A15E87"/>
    <w:rsid w:val="71BA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2020-09-19T03:26:00Z</dcterms:created>
  <dc:creator>颜</dc:creator>
  <cp:lastModifiedBy>Administrator</cp:lastModifiedBy>
  <dcterms:modified xsi:type="dcterms:W3CDTF">2020-10-16T00:57:44Z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